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「학과(부)평가 규정」 신구조문대비표</w:t>
      </w:r>
    </w:p>
    <w:p>
      <w:pPr>
        <w:spacing w:after="20" w:line="300"/>
        <w:jc w:val="left"/>
      </w:pPr>
      <w:r>
        <w:rPr>
          <w:rFonts w:ascii="Malgun Gothic" w:eastAsia="맑은 고딕" w:hAnsi="Malgun Gothic"/>
          <w:color w:val="5B6470"/>
          <w:sz w:val="18"/>
          <w:szCs w:val="18"/>
        </w:rPr>
        <w:t xml:space="preserve">2010. 12. 20. 개정 판 (시행 2010. 12. 20.) → 2011. 12. 5. 개정 판 (시행 2011. 12. 5.)</w:t>
      </w:r>
    </w:p>
    <w:p>
      <w:pPr>
        <w:spacing w:after="20" w:line="300"/>
        <w:jc w:val="left"/>
      </w:pPr>
      <w:r>
        <w:rPr>
          <w:rFonts w:ascii="Malgun Gothic" w:eastAsia="맑은 고딕" w:hAnsi="Malgun Gothic"/>
          <w:color w:val="5B6470"/>
          <w:sz w:val="18"/>
          <w:szCs w:val="18"/>
        </w:rPr>
        <w:t xml:space="preserve">바뀜 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https://suleap.syu.my/r/114/compare?from=295&amp;to=298 · 내려받은 때 2026. 10. 21. 오후 2:57:47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 대상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① 평가 대상은 본 대학 학칙에서 정하는 학과(부)를 말한다.</w:t>
            </w:r>
          </w:p>
          <w:p>
            <w:pPr>
              <w:spacing w:after="20" w:line="280"/>
            </w:pPr>
            <w:r>
              <w:rPr>
                <w:rFonts w:ascii="Malgun Gothic" w:eastAsia="맑은 고딕" w:hAnsi="Malgun Gothic"/>
                <w:b w:val="false"/>
                <w:bCs w:val="false"/>
                <w:sz w:val="19"/>
                <w:szCs w:val="19"/>
              </w:rPr>
              <w:t xml:space="preserve">② 통‧폐합된 학과(부)의 경우에는 존속하는 학과(부)에 통합하여 평가한다.</w:t>
            </w:r>
          </w:p>
          <w:p>
            <w:pPr>
              <w:spacing w:after="20" w:line="280"/>
            </w:pPr>
            <w:r>
              <w:rPr>
                <w:rFonts w:ascii="Malgun Gothic" w:eastAsia="맑은 고딕" w:hAnsi="Malgun Gothic"/>
                <w:b w:val="false"/>
                <w:bCs w:val="false"/>
                <w:sz w:val="19"/>
                <w:szCs w:val="19"/>
              </w:rPr>
              <w:t xml:space="preserve">③ 신설된 학과(부)의 경우에는 편제완성년도의 익년도부터 평가한다.</w:t>
            </w:r>
          </w:p>
          <w:p>
            <w:pPr>
              <w:spacing w:after="40" w:line="280"/>
            </w:pPr>
            <w:r>
              <w:rPr>
                <w:rFonts w:ascii="Malgun Gothic" w:eastAsia="맑은 고딕" w:hAnsi="Malgun Gothic"/>
                <w:b w:val="false"/>
                <w:bCs w:val="false"/>
                <w:sz w:val="19"/>
                <w:szCs w:val="19"/>
              </w:rPr>
              <w:t xml:space="preserve">④ 분리된 학과(부)의 경우에는 분리된 학과(부)의 실적을 평가에 포함한다.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 대상</w:t>
            </w:r>
            <w:r>
              <w:rPr>
                <w:rFonts w:ascii="Malgun Gothic" w:eastAsia="맑은 고딕" w:hAnsi="Malgun Gothic"/>
                <w:b w:val="false"/>
                <w:bCs w:val="false"/>
                <w:sz w:val="19"/>
                <w:szCs w:val="19"/>
              </w:rPr>
              <w:t xml:space="preserve">)  ① 평가 대상은 본 대학 학칙에서 정하는 학과(부)를 말한다.</w:t>
            </w:r>
          </w:p>
          <w:p>
            <w:pPr>
              <w:spacing w:after="20" w:line="280"/>
            </w:pPr>
            <w:r>
              <w:rPr>
                <w:rFonts w:ascii="Malgun Gothic" w:eastAsia="맑은 고딕" w:hAnsi="Malgun Gothic"/>
                <w:b w:val="false"/>
                <w:bCs w:val="false"/>
                <w:sz w:val="19"/>
                <w:szCs w:val="19"/>
              </w:rPr>
              <w:t xml:space="preserve">② 통‧폐합된 학과(부)의 경우에는 존속하는 학과(부)에 통합하여 평가한다.</w:t>
            </w:r>
          </w:p>
          <w:p>
            <w:pPr>
              <w:spacing w:after="20" w:line="280"/>
            </w:pPr>
            <w:r>
              <w:rPr>
                <w:rFonts w:ascii="Malgun Gothic" w:eastAsia="맑은 고딕" w:hAnsi="Malgun Gothic"/>
                <w:b w:val="false"/>
                <w:bCs w:val="false"/>
                <w:sz w:val="19"/>
                <w:szCs w:val="19"/>
              </w:rPr>
              <w:t xml:space="preserve">③ 신설된 학과(부)의 경우에는 편제완성년도의 익년도부터 평가한다.</w:t>
            </w:r>
          </w:p>
          <w:p>
            <w:pPr>
              <w:spacing w:after="40" w:line="280"/>
            </w:pPr>
            <w:r>
              <w:rPr>
                <w:rFonts w:ascii="Malgun Gothic" w:eastAsia="맑은 고딕" w:hAnsi="Malgun Gothic"/>
                <w:b w:val="false"/>
                <w:bCs w:val="false"/>
                <w:sz w:val="19"/>
                <w:szCs w:val="19"/>
              </w:rPr>
              <w:t xml:space="preserve">④ 분리된 학과(부)의 경우에는 분리된 학과(부)의 실적을 평가에 포함한다.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기획부장,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기획부장으로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기획부장,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기획부장으로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평가등급기준은 학과(부)에서 선택한 평가지표별 최근 </w:t>
            </w:r>
            <w:r>
              <w:rPr>
                <w:rFonts w:ascii="Malgun Gothic" w:eastAsia="맑은 고딕" w:hAnsi="Malgun Gothic"/>
                <w:b w:val="false"/>
                <w:bCs w:val="false"/>
                <w:sz w:val="19"/>
                <w:szCs w:val="19"/>
              </w:rPr>
              <w:t xml:space="preserve">3년간 실적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발전전략을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려</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학과(부)와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단이 </w:t>
            </w:r>
            <w:r>
              <w:rPr>
                <w:rFonts w:ascii="Malgun Gothic" w:eastAsia="맑은 고딕" w:hAnsi="Malgun Gothic"/>
                <w:b w:val="false"/>
                <w:bCs w:val="false"/>
                <w:sz w:val="19"/>
                <w:szCs w:val="19"/>
                <w:u w:val="single"/>
              </w:rPr>
              <w:t xml:space="preserve">상호 </w:t>
            </w:r>
            <w:r>
              <w:rPr>
                <w:rFonts w:ascii="Malgun Gothic" w:eastAsia="맑은 고딕" w:hAnsi="Malgun Gothic"/>
                <w:b w:val="false"/>
                <w:bCs w:val="false"/>
                <w:sz w:val="19"/>
                <w:szCs w:val="19"/>
              </w:rPr>
              <w:t xml:space="preserve">협의하여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평가등급기준은 학과(부)에서 선택한 평가지표별 최근 </w:t>
            </w:r>
            <w:r>
              <w:rPr>
                <w:rFonts w:ascii="Malgun Gothic" w:eastAsia="맑은 고딕" w:hAnsi="Malgun Gothic"/>
                <w:b w:val="false"/>
                <w:bCs w:val="false"/>
                <w:sz w:val="19"/>
                <w:szCs w:val="19"/>
                <w:u w:val="single"/>
              </w:rPr>
              <w:t xml:space="preserve">최근 </w:t>
            </w:r>
            <w:r>
              <w:rPr>
                <w:rFonts w:ascii="Malgun Gothic" w:eastAsia="맑은 고딕" w:hAnsi="Malgun Gothic"/>
                <w:b w:val="false"/>
                <w:bCs w:val="false"/>
                <w:sz w:val="19"/>
                <w:szCs w:val="19"/>
              </w:rPr>
              <w:t xml:space="preserve">3년간 실적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 이의 설정이 어</w:t>
            </w:r>
            <w:r>
              <w:rPr>
                <w:rFonts w:ascii="Malgun Gothic" w:eastAsia="맑은 고딕" w:hAnsi="Malgun Gothic"/>
                <w:b w:val="false"/>
                <w:bCs w:val="false"/>
                <w:sz w:val="19"/>
                <w:szCs w:val="19"/>
              </w:rPr>
              <w:t xml:space="preserve">려</w:t>
            </w:r>
            <w:r>
              <w:rPr>
                <w:rFonts w:ascii="Malgun Gothic" w:eastAsia="맑은 고딕" w:hAnsi="Malgun Gothic"/>
                <w:b w:val="false"/>
                <w:bCs w:val="false"/>
                <w:sz w:val="19"/>
                <w:szCs w:val="19"/>
                <w:u w:val="single"/>
              </w:rPr>
              <w:t xml:space="preserve">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지표는 </w:t>
            </w:r>
            <w:r>
              <w:rPr>
                <w:rFonts w:ascii="Malgun Gothic" w:eastAsia="맑은 고딕" w:hAnsi="Malgun Gothic"/>
                <w:b w:val="false"/>
                <w:bCs w:val="false"/>
                <w:sz w:val="19"/>
                <w:szCs w:val="19"/>
              </w:rPr>
              <w:t xml:space="preserve">학과(부)와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심사</w:t>
            </w:r>
            <w:r>
              <w:rPr>
                <w:rFonts w:ascii="Malgun Gothic" w:eastAsia="맑은 고딕" w:hAnsi="Malgun Gothic"/>
                <w:b w:val="false"/>
                <w:bCs w:val="false"/>
                <w:sz w:val="19"/>
                <w:szCs w:val="19"/>
              </w:rPr>
              <w:t xml:space="preserve">단이 </w:t>
            </w:r>
            <w:r>
              <w:rPr>
                <w:rFonts w:ascii="Malgun Gothic" w:eastAsia="맑은 고딕" w:hAnsi="Malgun Gothic"/>
                <w:b w:val="false"/>
                <w:bCs w:val="false"/>
                <w:sz w:val="19"/>
                <w:szCs w:val="19"/>
              </w:rPr>
              <w:t xml:space="preserve">협의하여 결정한다.</w:t>
            </w:r>
            <w:r>
              <w:rPr>
                <w:rFonts w:ascii="Malgun Gothic" w:eastAsia="맑은 고딕" w:hAnsi="Malgun Gothic"/>
                <w:b w:val="false"/>
                <w:bCs w:val="false"/>
                <w:sz w:val="19"/>
                <w:szCs w:val="19"/>
                <w:u w:val="single"/>
              </w:rPr>
              <w:t xml:space="preserve"> 〈개정 2011-12-05〉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평가등급에 따른 환산점수는 표와 같이 등급별로 적용한다.</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E</w:t>
            </w:r>
          </w:p>
          <w:p>
            <w:pPr>
              <w:spacing w:after="20" w:line="280"/>
            </w:pPr>
            <w:r>
              <w:rPr>
                <w:rFonts w:ascii="Malgun Gothic" w:eastAsia="맑은 고딕" w:hAnsi="Malgun Gothic"/>
                <w:b w:val="false"/>
                <w:bCs w:val="false"/>
                <w:sz w:val="19"/>
                <w:szCs w:val="19"/>
              </w:rPr>
              <w:t xml:space="preserve">환산점수</w:t>
            </w:r>
          </w:p>
          <w:p>
            <w:pPr>
              <w:spacing w:after="20" w:line="280"/>
            </w:pPr>
            <w:r>
              <w:rPr>
                <w:rFonts w:ascii="Malgun Gothic" w:eastAsia="맑은 고딕" w:hAnsi="Malgun Gothic"/>
                <w:b w:val="false"/>
                <w:bCs w:val="false"/>
                <w:sz w:val="19"/>
                <w:szCs w:val="19"/>
              </w:rPr>
              <w:t xml:space="preserve">가중치×1.0</w:t>
            </w:r>
          </w:p>
          <w:p>
            <w:pPr>
              <w:spacing w:after="20" w:line="280"/>
            </w:pPr>
            <w:r>
              <w:rPr>
                <w:rFonts w:ascii="Malgun Gothic" w:eastAsia="맑은 고딕" w:hAnsi="Malgun Gothic"/>
                <w:b w:val="false"/>
                <w:bCs w:val="false"/>
                <w:sz w:val="19"/>
                <w:szCs w:val="19"/>
              </w:rPr>
              <w:t xml:space="preserve">가중치×0.85</w:t>
            </w:r>
          </w:p>
          <w:p>
            <w:pPr>
              <w:spacing w:after="20" w:line="280"/>
            </w:pPr>
            <w:r>
              <w:rPr>
                <w:rFonts w:ascii="Malgun Gothic" w:eastAsia="맑은 고딕" w:hAnsi="Malgun Gothic"/>
                <w:b w:val="false"/>
                <w:bCs w:val="false"/>
                <w:sz w:val="19"/>
                <w:szCs w:val="19"/>
              </w:rPr>
              <w:t xml:space="preserve">가중치×0.7</w:t>
            </w:r>
          </w:p>
          <w:p>
            <w:pPr>
              <w:spacing w:after="20" w:line="280"/>
            </w:pPr>
            <w:r>
              <w:rPr>
                <w:rFonts w:ascii="Malgun Gothic" w:eastAsia="맑은 고딕" w:hAnsi="Malgun Gothic"/>
                <w:b w:val="false"/>
                <w:bCs w:val="false"/>
                <w:sz w:val="19"/>
                <w:szCs w:val="19"/>
              </w:rPr>
              <w:t xml:space="preserve">가중치×0.55</w:t>
            </w:r>
          </w:p>
          <w:p>
            <w:pPr>
              <w:spacing w:after="40" w:line="280"/>
            </w:pPr>
            <w:r>
              <w:rPr>
                <w:rFonts w:ascii="Malgun Gothic" w:eastAsia="맑은 고딕" w:hAnsi="Malgun Gothic"/>
                <w:b w:val="false"/>
                <w:bCs w:val="false"/>
                <w:sz w:val="19"/>
                <w:szCs w:val="19"/>
              </w:rPr>
              <w:t xml:space="preserve">가중치×0.4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평가등급에 따른 환산점수는 표와 같이 등급별로 적용한다.</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E</w:t>
            </w:r>
          </w:p>
          <w:p>
            <w:pPr>
              <w:spacing w:after="20" w:line="280"/>
            </w:pPr>
            <w:r>
              <w:rPr>
                <w:rFonts w:ascii="Malgun Gothic" w:eastAsia="맑은 고딕" w:hAnsi="Malgun Gothic"/>
                <w:b w:val="false"/>
                <w:bCs w:val="false"/>
                <w:sz w:val="19"/>
                <w:szCs w:val="19"/>
              </w:rPr>
              <w:t xml:space="preserve">환산점수</w:t>
            </w:r>
          </w:p>
          <w:p>
            <w:pPr>
              <w:spacing w:after="20" w:line="280"/>
            </w:pPr>
            <w:r>
              <w:rPr>
                <w:rFonts w:ascii="Malgun Gothic" w:eastAsia="맑은 고딕" w:hAnsi="Malgun Gothic"/>
                <w:b w:val="false"/>
                <w:bCs w:val="false"/>
                <w:sz w:val="19"/>
                <w:szCs w:val="19"/>
              </w:rPr>
              <w:t xml:space="preserve">가중치×1.0</w:t>
            </w:r>
          </w:p>
          <w:p>
            <w:pPr>
              <w:spacing w:after="20" w:line="280"/>
            </w:pPr>
            <w:r>
              <w:rPr>
                <w:rFonts w:ascii="Malgun Gothic" w:eastAsia="맑은 고딕" w:hAnsi="Malgun Gothic"/>
                <w:b w:val="false"/>
                <w:bCs w:val="false"/>
                <w:sz w:val="19"/>
                <w:szCs w:val="19"/>
              </w:rPr>
              <w:t xml:space="preserve">가중치×0.85</w:t>
            </w:r>
          </w:p>
          <w:p>
            <w:pPr>
              <w:spacing w:after="20" w:line="280"/>
            </w:pPr>
            <w:r>
              <w:rPr>
                <w:rFonts w:ascii="Malgun Gothic" w:eastAsia="맑은 고딕" w:hAnsi="Malgun Gothic"/>
                <w:b w:val="false"/>
                <w:bCs w:val="false"/>
                <w:sz w:val="19"/>
                <w:szCs w:val="19"/>
              </w:rPr>
              <w:t xml:space="preserve">가중치×0.7</w:t>
            </w:r>
          </w:p>
          <w:p>
            <w:pPr>
              <w:spacing w:after="20" w:line="280"/>
            </w:pPr>
            <w:r>
              <w:rPr>
                <w:rFonts w:ascii="Malgun Gothic" w:eastAsia="맑은 고딕" w:hAnsi="Malgun Gothic"/>
                <w:b w:val="false"/>
                <w:bCs w:val="false"/>
                <w:sz w:val="19"/>
                <w:szCs w:val="19"/>
              </w:rPr>
              <w:t xml:space="preserve">가중치×0.55</w:t>
            </w:r>
          </w:p>
          <w:p>
            <w:pPr>
              <w:spacing w:after="20" w:line="280"/>
            </w:pPr>
            <w:r>
              <w:rPr>
                <w:rFonts w:ascii="Malgun Gothic" w:eastAsia="맑은 고딕" w:hAnsi="Malgun Gothic"/>
                <w:b w:val="false"/>
                <w:bCs w:val="false"/>
                <w:sz w:val="19"/>
                <w:szCs w:val="19"/>
              </w:rPr>
              <w:t xml:space="preserve">가중치×0.4</w:t>
            </w:r>
          </w:p>
          <w:p>
            <w:pPr>
              <w:spacing w:after="40" w:line="280"/>
            </w:pPr>
            <w:r>
              <w:rPr>
                <w:rFonts w:ascii="Malgun Gothic" w:eastAsia="맑은 고딕" w:hAnsi="Malgun Gothic"/>
                <w:b w:val="false"/>
                <w:bCs w:val="false"/>
                <w:sz w:val="19"/>
                <w:szCs w:val="19"/>
                <w:u w:val="single"/>
              </w:rPr>
              <w:t xml:space="preserve">② 평가지표별 평가등급은 별도 지침의 평가등급표에 따라 평가지표별 평가등급기준을 달성한 경우 ‘B’등급으로, 1등급 초과 달성한 경우 ‘A’등급으로, 1등급 하락일 경우 ‘C’등급으로, 2등급 하락일 경우 ‘D’등급으로, 3등급 하락일 경우 ‘E’등급으로 한다. 단, 평가지표 중 학생만족도와, 재정기여도, 예산집행율은 10점 만점의 실점수를 소수점 둘째자리에서 반올림하여 적용한다. 〈신설 2011-12-05〉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평가단에서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91</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이하</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40" w:line="280"/>
            </w:pPr>
            <w:r>
              <w:rPr>
                <w:rFonts w:ascii="Malgun Gothic" w:eastAsia="맑은 고딕" w:hAnsi="Malgun Gothic"/>
                <w:b w:val="false"/>
                <w:bCs w:val="false"/>
                <w:sz w:val="19"/>
                <w:szCs w:val="19"/>
              </w:rPr>
              <w:t xml:space="preserve">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평가단에서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w:t>
            </w:r>
            <w:r>
              <w:rPr>
                <w:rFonts w:ascii="Malgun Gothic" w:eastAsia="맑은 고딕" w:hAnsi="Malgun Gothic"/>
                <w:b w:val="false"/>
                <w:bCs w:val="false"/>
                <w:sz w:val="19"/>
                <w:szCs w:val="19"/>
                <w:u w:val="single"/>
              </w:rPr>
              <w:t xml:space="preserve"> 단, 평가결과의 평정은 소수점 첫째자리에서 올림하여 적용한다.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40" w:line="280"/>
            </w:pPr>
            <w:r>
              <w:rPr>
                <w:rFonts w:ascii="Malgun Gothic" w:eastAsia="맑은 고딕" w:hAnsi="Malgun Gothic"/>
                <w:b w:val="false"/>
                <w:bCs w:val="false"/>
                <w:sz w:val="19"/>
                <w:szCs w:val="19"/>
              </w:rPr>
              <w:t xml:space="preserve">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1등</w:t>
            </w:r>
          </w:p>
          <w:p>
            <w:pPr>
              <w:spacing w:after="20" w:line="280"/>
            </w:pPr>
            <w:r>
              <w:rPr>
                <w:rFonts w:ascii="Malgun Gothic" w:eastAsia="맑은 고딕" w:hAnsi="Malgun Gothic"/>
                <w:b w:val="false"/>
                <w:bCs w:val="false"/>
                <w:sz w:val="19"/>
                <w:szCs w:val="19"/>
              </w:rPr>
              <w:t xml:space="preserve">2등</w:t>
            </w:r>
          </w:p>
          <w:p>
            <w:pPr>
              <w:spacing w:after="20" w:line="280"/>
            </w:pPr>
            <w:r>
              <w:rPr>
                <w:rFonts w:ascii="Malgun Gothic" w:eastAsia="맑은 고딕" w:hAnsi="Malgun Gothic"/>
                <w:b w:val="false"/>
                <w:bCs w:val="false"/>
                <w:sz w:val="19"/>
                <w:szCs w:val="19"/>
              </w:rPr>
              <w:t xml:space="preserve">3등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학과(부) 자율경영에 참여한 학과(부) 중에 평가결과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등급과 ‘우’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등급을 받은 우수한 학과(부)는 학과(부) 발전전략에 의해 지원이 필요한 경우 우선적으로 예산을 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1등</w:t>
            </w:r>
          </w:p>
          <w:p>
            <w:pPr>
              <w:spacing w:after="20" w:line="280"/>
            </w:pPr>
            <w:r>
              <w:rPr>
                <w:rFonts w:ascii="Malgun Gothic" w:eastAsia="맑은 고딕" w:hAnsi="Malgun Gothic"/>
                <w:b w:val="false"/>
                <w:bCs w:val="false"/>
                <w:sz w:val="19"/>
                <w:szCs w:val="19"/>
              </w:rPr>
              <w:t xml:space="preserve">2등</w:t>
            </w:r>
          </w:p>
          <w:p>
            <w:pPr>
              <w:spacing w:after="20" w:line="280"/>
            </w:pPr>
            <w:r>
              <w:rPr>
                <w:rFonts w:ascii="Malgun Gothic" w:eastAsia="맑은 고딕" w:hAnsi="Malgun Gothic"/>
                <w:b w:val="false"/>
                <w:bCs w:val="false"/>
                <w:sz w:val="19"/>
                <w:szCs w:val="19"/>
              </w:rPr>
              <w:t xml:space="preserve">3등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학과(부) 자율경영에 참여한 학과(부) 중에 평가결과 ‘수'</w:t>
            </w:r>
            <w:r>
              <w:rPr>
                <w:rFonts w:ascii="Malgun Gothic" w:eastAsia="맑은 고딕" w:hAnsi="Malgun Gothic"/>
                <w:b w:val="false"/>
                <w:bCs w:val="false"/>
                <w:sz w:val="19"/>
                <w:szCs w:val="19"/>
              </w:rPr>
              <w:t xml:space="preserve">등급과 ‘우’</w:t>
            </w:r>
            <w:r>
              <w:rPr>
                <w:rFonts w:ascii="Malgun Gothic" w:eastAsia="맑은 고딕" w:hAnsi="Malgun Gothic"/>
                <w:b w:val="false"/>
                <w:bCs w:val="false"/>
                <w:sz w:val="19"/>
                <w:szCs w:val="19"/>
              </w:rPr>
              <w:t xml:space="preserve">등급을 받은 우수한 학과(부)는 학과(부) 발전전략에 의해 지원이 필요한 경우 우선적으로 예산을 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등급과 ‘가’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등급을 받은 학과(부)에 대해서는 정해진 비율[‘양’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 － </w:t>
            </w:r>
            <w:r>
              <w:rPr>
                <w:rFonts w:ascii="Malgun Gothic" w:eastAsia="맑은 고딕" w:hAnsi="Malgun Gothic"/>
                <w:b w:val="false"/>
                <w:bCs w:val="false"/>
                <w:sz w:val="19"/>
                <w:szCs w:val="19"/>
              </w:rPr>
              <w:t xml:space="preserve">5%, ‘가’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 － </w:t>
            </w:r>
            <w:r>
              <w:rPr>
                <w:rFonts w:ascii="Malgun Gothic" w:eastAsia="맑은 고딕" w:hAnsi="Malgun Gothic"/>
                <w:b w:val="false"/>
                <w:bCs w:val="false"/>
                <w:sz w:val="19"/>
                <w:szCs w:val="19"/>
              </w:rPr>
              <w:t xml:space="preserve">10%]에 따라 다음 학년도 입학정원을 감축한다. 단, 해당 학과(부)가 설득력 있는 발전전략을 수립하고 교수 전원이 확고한 의지를 표시할 경우 행정협의회의 결의를 거쳐 입학정원 감축 조치를 1년간 유예하여 준다.</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‘양’</w:t>
            </w:r>
            <w:r>
              <w:rPr>
                <w:rFonts w:ascii="Malgun Gothic" w:eastAsia="맑은 고딕" w:hAnsi="Malgun Gothic"/>
                <w:b w:val="false"/>
                <w:bCs w:val="false"/>
                <w:sz w:val="19"/>
                <w:szCs w:val="19"/>
              </w:rPr>
              <w:t xml:space="preserve">등급과 ‘가’</w:t>
            </w:r>
            <w:r>
              <w:rPr>
                <w:rFonts w:ascii="Malgun Gothic" w:eastAsia="맑은 고딕" w:hAnsi="Malgun Gothic"/>
                <w:b w:val="false"/>
                <w:bCs w:val="false"/>
                <w:sz w:val="19"/>
                <w:szCs w:val="19"/>
              </w:rPr>
              <w:t xml:space="preserve">등급을 받은 학과(부)에 대해서는 정해진 비율[‘양’</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5%, ‘가’</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10%]에 따라 다음 학년도 입학정원을 감축한다. 단, 해당 학과(부)가 설득력 있는 발전전략을 수립하고 교수 전원이 확고한 의지를 표시할 경우 행정협의회의 결의를 거쳐 입학정원 감축 조치를 1년간 유예하여 준다.</w:t>
            </w:r>
            <w:r>
              <w:rPr>
                <w:rFonts w:ascii="Malgun Gothic" w:eastAsia="맑은 고딕" w:hAnsi="Malgun Gothic"/>
                <w:b w:val="false"/>
                <w:bCs w:val="false"/>
                <w:sz w:val="19"/>
                <w:szCs w:val="19"/>
                <w:u w:val="single"/>
              </w:rPr>
              <w:t xml:space="preserve"> 이 입학정원 감축 조치 유예는 1회에 한 한다. 〈개정 2011-12-05〉</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91</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이하</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w:t>
            </w:r>
            <w:r>
              <w:rPr>
                <w:rFonts w:ascii="Malgun Gothic" w:eastAsia="맑은 고딕" w:hAnsi="Malgun Gothic"/>
                <w:b w:val="false"/>
                <w:bCs w:val="false"/>
                <w:sz w:val="19"/>
                <w:szCs w:val="19"/>
                <w:u w:val="single"/>
              </w:rPr>
              <w:t xml:space="preserve"> 단, 해당 비율의 입학정원은 소수점 첫째자리에서 내림한 정수로 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「학과(부)평가 규정」 일부를 다음과 같이 개정한다.</w:t>
      </w:r>
    </w:p>
    <w:p>
      <w:pPr>
        <w:spacing w:after="80" w:line="300"/>
        <w:jc w:val="left"/>
      </w:pPr>
      <w:r>
        <w:rPr>
          <w:rFonts w:ascii="Malgun Gothic" w:eastAsia="맑은 고딕" w:hAnsi="Malgun Gothic"/>
        </w:rPr>
        <w:t xml:space="preserve">제3조 중 "대상 )"을 "대상)"으로 한다.</w:t>
      </w:r>
    </w:p>
    <w:p>
      <w:pPr>
        <w:spacing w:after="80" w:line="300"/>
        <w:jc w:val="left"/>
      </w:pPr>
      <w:r>
        <w:rPr>
          <w:rFonts w:ascii="Malgun Gothic" w:eastAsia="맑은 고딕" w:hAnsi="Malgun Gothic"/>
        </w:rPr>
        <w:t xml:space="preserve">제5조 중 "평가기획연구위원회) ①"를 "평가기획연구위원회) ①"로 한다.</w:t>
      </w:r>
    </w:p>
    <w:p>
      <w:pPr>
        <w:spacing w:after="80" w:line="300"/>
        <w:jc w:val="left"/>
      </w:pPr>
      <w:r>
        <w:rPr>
          <w:rFonts w:ascii="Malgun Gothic" w:eastAsia="맑은 고딕" w:hAnsi="Malgun Gothic"/>
        </w:rPr>
        <w:t xml:space="preserve">제10조를 다음과 같이 한다.</w:t>
      </w:r>
    </w:p>
    <w:p>
      <w:pPr>
        <w:spacing w:after="80" w:line="300"/>
        <w:ind w:left="280"/>
        <w:jc w:val="left"/>
      </w:pPr>
      <w:r>
        <w:rPr>
          <w:rFonts w:ascii="Malgun Gothic" w:eastAsia="맑은 고딕" w:hAnsi="Malgun Gothic"/>
        </w:rPr>
        <w:t xml:space="preserve">제10조(평가지표별 평가등급기준) 평가지표별 평가등급기준은 학과(부)에서 선택한 평가지표별 최근 최근 3년간 실적의 평균으로 하고, 이의 설정이 어려운 지표는 학과(부)와 학과평가심사단이 협의하여 결정한다.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제11조(평가등급환산) ① 평가등급에 따른 환산점수는 표와 같이 등급별로 적용한다.</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E</w:t>
      </w:r>
    </w:p>
    <w:p>
      <w:pPr>
        <w:spacing w:after="20" w:line="300"/>
        <w:ind w:left="280"/>
        <w:jc w:val="left"/>
      </w:pPr>
      <w:r>
        <w:rPr>
          <w:rFonts w:ascii="Malgun Gothic" w:eastAsia="맑은 고딕" w:hAnsi="Malgun Gothic"/>
        </w:rPr>
        <w:t xml:space="preserve">환산점수</w:t>
      </w:r>
    </w:p>
    <w:p>
      <w:pPr>
        <w:spacing w:after="20" w:line="300"/>
        <w:ind w:left="280"/>
        <w:jc w:val="left"/>
      </w:pPr>
      <w:r>
        <w:rPr>
          <w:rFonts w:ascii="Malgun Gothic" w:eastAsia="맑은 고딕" w:hAnsi="Malgun Gothic"/>
        </w:rPr>
        <w:t xml:space="preserve">가중치×1.0</w:t>
      </w:r>
    </w:p>
    <w:p>
      <w:pPr>
        <w:spacing w:after="20" w:line="300"/>
        <w:ind w:left="280"/>
        <w:jc w:val="left"/>
      </w:pPr>
      <w:r>
        <w:rPr>
          <w:rFonts w:ascii="Malgun Gothic" w:eastAsia="맑은 고딕" w:hAnsi="Malgun Gothic"/>
        </w:rPr>
        <w:t xml:space="preserve">가중치×0.85</w:t>
      </w:r>
    </w:p>
    <w:p>
      <w:pPr>
        <w:spacing w:after="20" w:line="300"/>
        <w:ind w:left="280"/>
        <w:jc w:val="left"/>
      </w:pPr>
      <w:r>
        <w:rPr>
          <w:rFonts w:ascii="Malgun Gothic" w:eastAsia="맑은 고딕" w:hAnsi="Malgun Gothic"/>
        </w:rPr>
        <w:t xml:space="preserve">가중치×0.7</w:t>
      </w:r>
    </w:p>
    <w:p>
      <w:pPr>
        <w:spacing w:after="20" w:line="300"/>
        <w:ind w:left="280"/>
        <w:jc w:val="left"/>
      </w:pPr>
      <w:r>
        <w:rPr>
          <w:rFonts w:ascii="Malgun Gothic" w:eastAsia="맑은 고딕" w:hAnsi="Malgun Gothic"/>
        </w:rPr>
        <w:t xml:space="preserve">가중치×0.55</w:t>
      </w:r>
    </w:p>
    <w:p>
      <w:pPr>
        <w:spacing w:after="20" w:line="300"/>
        <w:ind w:left="280"/>
        <w:jc w:val="left"/>
      </w:pPr>
      <w:r>
        <w:rPr>
          <w:rFonts w:ascii="Malgun Gothic" w:eastAsia="맑은 고딕" w:hAnsi="Malgun Gothic"/>
        </w:rPr>
        <w:t xml:space="preserve">가중치×0.4</w:t>
      </w:r>
    </w:p>
    <w:p>
      <w:pPr>
        <w:spacing w:after="80" w:line="300"/>
        <w:ind w:left="280"/>
        <w:jc w:val="left"/>
      </w:pPr>
      <w:r>
        <w:rPr>
          <w:rFonts w:ascii="Malgun Gothic" w:eastAsia="맑은 고딕" w:hAnsi="Malgun Gothic"/>
        </w:rPr>
        <w:t xml:space="preserve">② 평가지표별 평가등급은 별도 지침의 평가등급표에 따라 평가지표별 평가등급기준을 달성한 경우 ‘B’등급으로, 1등급 초과 달성한 경우 ‘A’등급으로, 1등급 하락일 경우 ‘C’등급으로, 2등급 하락일 경우 ‘D’등급으로, 3등급 하락일 경우 ‘E’등급으로 한다. 단, 평가지표 중 학생만족도와, 재정기여도, 예산집행율은 10점 만점의 실점수를 소수점 둘째자리에서 반올림하여 적용한다.</w:t>
      </w:r>
    </w:p>
    <w:p>
      <w:pPr>
        <w:spacing w:after="80" w:line="300"/>
        <w:jc w:val="left"/>
      </w:pPr>
      <w:r>
        <w:rPr>
          <w:rFonts w:ascii="Malgun Gothic" w:eastAsia="맑은 고딕" w:hAnsi="Malgun Gothic"/>
        </w:rPr>
        <w:t xml:space="preserve">제15조제2항을 다음과 같이 한다.</w:t>
      </w:r>
    </w:p>
    <w:p>
      <w:pPr>
        <w:spacing w:after="20" w:line="300"/>
        <w:ind w:left="280"/>
        <w:jc w:val="left"/>
      </w:pPr>
      <w:r>
        <w:rPr>
          <w:rFonts w:ascii="Malgun Gothic" w:eastAsia="맑은 고딕" w:hAnsi="Malgun Gothic"/>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p>
    <w:p>
      <w:pPr>
        <w:spacing w:after="20" w:line="300"/>
        <w:ind w:left="280"/>
        <w:jc w:val="left"/>
      </w:pPr>
      <w:r>
        <w:rPr>
          <w:rFonts w:ascii="Malgun Gothic" w:eastAsia="맑은 고딕" w:hAnsi="Malgun Gothic"/>
        </w:rPr>
        <w:t xml:space="preserve">평가결과</w:t>
      </w:r>
    </w:p>
    <w:p>
      <w:pPr>
        <w:spacing w:after="20" w:line="300"/>
        <w:ind w:left="280"/>
        <w:jc w:val="left"/>
      </w:pPr>
      <w:r>
        <w:rPr>
          <w:rFonts w:ascii="Malgun Gothic" w:eastAsia="맑은 고딕" w:hAnsi="Malgun Gothic"/>
        </w:rPr>
        <w:t xml:space="preserve">90점 이상</w:t>
      </w:r>
    </w:p>
    <w:p>
      <w:pPr>
        <w:spacing w:after="20" w:line="300"/>
        <w:ind w:left="280"/>
        <w:jc w:val="left"/>
      </w:pPr>
      <w:r>
        <w:rPr>
          <w:rFonts w:ascii="Malgun Gothic" w:eastAsia="맑은 고딕" w:hAnsi="Malgun Gothic"/>
        </w:rPr>
        <w:t xml:space="preserve">80～89점</w:t>
      </w:r>
    </w:p>
    <w:p>
      <w:pPr>
        <w:spacing w:after="20" w:line="300"/>
        <w:ind w:left="280"/>
        <w:jc w:val="left"/>
      </w:pPr>
      <w:r>
        <w:rPr>
          <w:rFonts w:ascii="Malgun Gothic" w:eastAsia="맑은 고딕" w:hAnsi="Malgun Gothic"/>
        </w:rPr>
        <w:t xml:space="preserve">70～79점</w:t>
      </w:r>
    </w:p>
    <w:p>
      <w:pPr>
        <w:spacing w:after="20" w:line="300"/>
        <w:ind w:left="280"/>
        <w:jc w:val="left"/>
      </w:pPr>
      <w:r>
        <w:rPr>
          <w:rFonts w:ascii="Malgun Gothic" w:eastAsia="맑은 고딕" w:hAnsi="Malgun Gothic"/>
        </w:rPr>
        <w:t xml:space="preserve">60～69점</w:t>
      </w:r>
    </w:p>
    <w:p>
      <w:pPr>
        <w:spacing w:after="20" w:line="300"/>
        <w:ind w:left="280"/>
        <w:jc w:val="left"/>
      </w:pPr>
      <w:r>
        <w:rPr>
          <w:rFonts w:ascii="Malgun Gothic" w:eastAsia="맑은 고딕" w:hAnsi="Malgun Gothic"/>
        </w:rPr>
        <w:t xml:space="preserve">60점 미만</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수</w:t>
      </w:r>
    </w:p>
    <w:p>
      <w:pPr>
        <w:spacing w:after="20" w:line="300"/>
        <w:ind w:left="280"/>
        <w:jc w:val="left"/>
      </w:pPr>
      <w:r>
        <w:rPr>
          <w:rFonts w:ascii="Malgun Gothic" w:eastAsia="맑은 고딕" w:hAnsi="Malgun Gothic"/>
        </w:rPr>
        <w:t xml:space="preserve">우</w:t>
      </w:r>
    </w:p>
    <w:p>
      <w:pPr>
        <w:spacing w:after="20" w:line="300"/>
        <w:ind w:left="280"/>
        <w:jc w:val="left"/>
      </w:pPr>
      <w:r>
        <w:rPr>
          <w:rFonts w:ascii="Malgun Gothic" w:eastAsia="맑은 고딕" w:hAnsi="Malgun Gothic"/>
        </w:rPr>
        <w:t xml:space="preserve">미</w:t>
      </w:r>
    </w:p>
    <w:p>
      <w:pPr>
        <w:spacing w:after="20" w:line="300"/>
        <w:ind w:left="280"/>
        <w:jc w:val="left"/>
      </w:pPr>
      <w:r>
        <w:rPr>
          <w:rFonts w:ascii="Malgun Gothic" w:eastAsia="맑은 고딕" w:hAnsi="Malgun Gothic"/>
        </w:rPr>
        <w:t xml:space="preserve">양</w:t>
      </w:r>
    </w:p>
    <w:p>
      <w:pPr>
        <w:spacing w:after="80" w:line="300"/>
        <w:ind w:left="280"/>
        <w:jc w:val="left"/>
      </w:pPr>
      <w:r>
        <w:rPr>
          <w:rFonts w:ascii="Malgun Gothic" w:eastAsia="맑은 고딕" w:hAnsi="Malgun Gothic"/>
        </w:rPr>
        <w:t xml:space="preserve">가</w:t>
      </w:r>
    </w:p>
    <w:p>
      <w:pPr>
        <w:spacing w:after="80" w:line="300"/>
        <w:jc w:val="left"/>
      </w:pPr>
      <w:r>
        <w:rPr>
          <w:rFonts w:ascii="Malgun Gothic" w:eastAsia="맑은 고딕" w:hAnsi="Malgun Gothic"/>
        </w:rPr>
        <w:t xml:space="preserve">제16조제3항 중 "‘수' 등급과 ‘우’ 등급을"을 "‘수'등급과 ‘우’등급을"로 한다.</w:t>
      </w:r>
    </w:p>
    <w:p>
      <w:pPr>
        <w:spacing w:after="80" w:line="300"/>
        <w:jc w:val="left"/>
      </w:pPr>
      <w:r>
        <w:rPr>
          <w:rFonts w:ascii="Malgun Gothic" w:eastAsia="맑은 고딕" w:hAnsi="Malgun Gothic"/>
        </w:rPr>
        <w:t xml:space="preserve">제17조제1항을 다음과 같이 한다.</w:t>
      </w:r>
    </w:p>
    <w:p>
      <w:pPr>
        <w:spacing w:after="80" w:line="300"/>
        <w:ind w:left="280"/>
        <w:jc w:val="left"/>
      </w:pPr>
      <w:r>
        <w:rPr>
          <w:rFonts w:ascii="Malgun Gothic" w:eastAsia="맑은 고딕" w:hAnsi="Malgun Gothic"/>
        </w:rPr>
        <w:t xml:space="preserve">① 평가결과 ‘양’등급과 ‘가’등급을 받은 학과(부)에 대해서는 정해진 비율[‘양’등급−5%, ‘가’등급−10%]에 따라 다음 학년도 입학정원을 감축한다. 단, 해당 학과(부)가 설득력 있는 발전전략을 수립하고 교수 전원이 확고한 의지를 표시할 경우 행정협의회의 결의를 거쳐 입학정원 감축 조치를 1년간 유예하여 준다. 이 입학정원 감축 조치 유예는 1회에 한 한다.</w:t>
      </w:r>
    </w:p>
    <w:p>
      <w:pPr>
        <w:spacing w:after="80" w:line="300"/>
        <w:jc w:val="left"/>
      </w:pPr>
      <w:r>
        <w:rPr>
          <w:rFonts w:ascii="Malgun Gothic" w:eastAsia="맑은 고딕" w:hAnsi="Malgun Gothic"/>
        </w:rPr>
        <w:t xml:space="preserve">제18조제1항을 다음과 같이 한다.</w:t>
      </w:r>
    </w:p>
    <w:p>
      <w:pPr>
        <w:spacing w:after="20" w:line="300"/>
        <w:ind w:left="280"/>
        <w:jc w:val="left"/>
      </w:pPr>
      <w:r>
        <w:rPr>
          <w:rFonts w:ascii="Malgun Gothic" w:eastAsia="맑은 고딕" w:hAnsi="Malgun Gothic"/>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w:t>
      </w:r>
    </w:p>
    <w:p>
      <w:pPr>
        <w:spacing w:after="20" w:line="300"/>
        <w:ind w:left="280"/>
        <w:jc w:val="left"/>
      </w:pPr>
      <w:r>
        <w:rPr>
          <w:rFonts w:ascii="Malgun Gothic" w:eastAsia="맑은 고딕" w:hAnsi="Malgun Gothic"/>
        </w:rPr>
        <w:t xml:space="preserve">평가결과</w:t>
      </w:r>
    </w:p>
    <w:p>
      <w:pPr>
        <w:spacing w:after="20" w:line="300"/>
        <w:ind w:left="280"/>
        <w:jc w:val="left"/>
      </w:pPr>
      <w:r>
        <w:rPr>
          <w:rFonts w:ascii="Malgun Gothic" w:eastAsia="맑은 고딕" w:hAnsi="Malgun Gothic"/>
        </w:rPr>
        <w:t xml:space="preserve">90점 이상</w:t>
      </w:r>
    </w:p>
    <w:p>
      <w:pPr>
        <w:spacing w:after="20" w:line="300"/>
        <w:ind w:left="280"/>
        <w:jc w:val="left"/>
      </w:pPr>
      <w:r>
        <w:rPr>
          <w:rFonts w:ascii="Malgun Gothic" w:eastAsia="맑은 고딕" w:hAnsi="Malgun Gothic"/>
        </w:rPr>
        <w:t xml:space="preserve">80～89점</w:t>
      </w:r>
    </w:p>
    <w:p>
      <w:pPr>
        <w:spacing w:after="20" w:line="300"/>
        <w:ind w:left="280"/>
        <w:jc w:val="left"/>
      </w:pPr>
      <w:r>
        <w:rPr>
          <w:rFonts w:ascii="Malgun Gothic" w:eastAsia="맑은 고딕" w:hAnsi="Malgun Gothic"/>
        </w:rPr>
        <w:t xml:space="preserve">70～79점</w:t>
      </w:r>
    </w:p>
    <w:p>
      <w:pPr>
        <w:spacing w:after="20" w:line="300"/>
        <w:ind w:left="280"/>
        <w:jc w:val="left"/>
      </w:pPr>
      <w:r>
        <w:rPr>
          <w:rFonts w:ascii="Malgun Gothic" w:eastAsia="맑은 고딕" w:hAnsi="Malgun Gothic"/>
        </w:rPr>
        <w:t xml:space="preserve">60～69점</w:t>
      </w:r>
    </w:p>
    <w:p>
      <w:pPr>
        <w:spacing w:after="20" w:line="300"/>
        <w:ind w:left="280"/>
        <w:jc w:val="left"/>
      </w:pPr>
      <w:r>
        <w:rPr>
          <w:rFonts w:ascii="Malgun Gothic" w:eastAsia="맑은 고딕" w:hAnsi="Malgun Gothic"/>
        </w:rPr>
        <w:t xml:space="preserve">60점 미만</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수</w:t>
      </w:r>
    </w:p>
    <w:p>
      <w:pPr>
        <w:spacing w:after="20" w:line="300"/>
        <w:ind w:left="280"/>
        <w:jc w:val="left"/>
      </w:pPr>
      <w:r>
        <w:rPr>
          <w:rFonts w:ascii="Malgun Gothic" w:eastAsia="맑은 고딕" w:hAnsi="Malgun Gothic"/>
        </w:rPr>
        <w:t xml:space="preserve">우</w:t>
      </w:r>
    </w:p>
    <w:p>
      <w:pPr>
        <w:spacing w:after="20" w:line="300"/>
        <w:ind w:left="280"/>
        <w:jc w:val="left"/>
      </w:pPr>
      <w:r>
        <w:rPr>
          <w:rFonts w:ascii="Malgun Gothic" w:eastAsia="맑은 고딕" w:hAnsi="Malgun Gothic"/>
        </w:rPr>
        <w:t xml:space="preserve">미</w:t>
      </w:r>
    </w:p>
    <w:p>
      <w:pPr>
        <w:spacing w:after="20" w:line="300"/>
        <w:ind w:left="280"/>
        <w:jc w:val="left"/>
      </w:pPr>
      <w:r>
        <w:rPr>
          <w:rFonts w:ascii="Malgun Gothic" w:eastAsia="맑은 고딕" w:hAnsi="Malgun Gothic"/>
        </w:rPr>
        <w:t xml:space="preserve">양</w:t>
      </w:r>
    </w:p>
    <w:p>
      <w:pPr>
        <w:spacing w:after="20" w:line="300"/>
        <w:ind w:left="280"/>
        <w:jc w:val="left"/>
      </w:pPr>
      <w:r>
        <w:rPr>
          <w:rFonts w:ascii="Malgun Gothic" w:eastAsia="맑은 고딕" w:hAnsi="Malgun Gothic"/>
        </w:rPr>
        <w:t xml:space="preserve">가</w:t>
      </w:r>
    </w:p>
    <w:p>
      <w:pPr>
        <w:spacing w:after="20" w:line="300"/>
        <w:ind w:left="280"/>
        <w:jc w:val="left"/>
      </w:pPr>
      <w:r>
        <w:rPr>
          <w:rFonts w:ascii="Malgun Gothic" w:eastAsia="맑은 고딕" w:hAnsi="Malgun Gothic"/>
        </w:rPr>
        <w:t xml:space="preserve">조정비율</w:t>
      </w:r>
    </w:p>
    <w:p>
      <w:pPr>
        <w:spacing w:after="20" w:line="300"/>
        <w:ind w:left="280"/>
        <w:jc w:val="left"/>
      </w:pPr>
      <w:r>
        <w:rPr>
          <w:rFonts w:ascii="Malgun Gothic" w:eastAsia="맑은 고딕" w:hAnsi="Malgun Gothic"/>
        </w:rPr>
        <w:t xml:space="preserve">입학정원</w:t>
      </w:r>
    </w:p>
    <w:p>
      <w:pPr>
        <w:spacing w:after="20" w:line="300"/>
        <w:ind w:left="280"/>
        <w:jc w:val="left"/>
      </w:pPr>
      <w:r>
        <w:rPr>
          <w:rFonts w:ascii="Malgun Gothic" w:eastAsia="맑은 고딕" w:hAnsi="Malgun Gothic"/>
        </w:rPr>
        <w:t xml:space="preserve">5% 감축</w:t>
      </w:r>
    </w:p>
    <w:p>
      <w:pPr>
        <w:spacing w:after="20" w:line="300"/>
        <w:ind w:left="280"/>
        <w:jc w:val="left"/>
      </w:pPr>
      <w:r>
        <w:rPr>
          <w:rFonts w:ascii="Malgun Gothic" w:eastAsia="맑은 고딕" w:hAnsi="Malgun Gothic"/>
        </w:rPr>
        <w:t xml:space="preserve">입학정원</w:t>
      </w:r>
    </w:p>
    <w:p>
      <w:pPr>
        <w:spacing w:after="80" w:line="300"/>
        <w:ind w:left="280"/>
        <w:jc w:val="left"/>
      </w:pPr>
      <w:r>
        <w:rPr>
          <w:rFonts w:ascii="Malgun Gothic" w:eastAsia="맑은 고딕" w:hAnsi="Malgun Gothic"/>
        </w:rPr>
        <w:t xml:space="preserve">10% 감축</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2011년 12월 5일부터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「학과(부)평가 규정」 신구조문대비표</dc:title>
  <dc:creator>삼육대학교 규정시스템</dc:creator>
  <cp:lastModifiedBy>Un-named</cp:lastModifiedBy>
  <cp:revision>1</cp:revision>
  <dcterms:created xsi:type="dcterms:W3CDTF">2026-10-21T05:57:47.483Z</dcterms:created>
  <dcterms:modified xsi:type="dcterms:W3CDTF">2026-10-21T05:57:47.483Z</dcterms:modified>
</cp:coreProperties>
</file>

<file path=docProps/custom.xml><?xml version="1.0" encoding="utf-8"?>
<Properties xmlns="http://schemas.openxmlformats.org/officeDocument/2006/custom-properties" xmlns:vt="http://schemas.openxmlformats.org/officeDocument/2006/docPropsVTypes"/>
</file>