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「학과(부)평가 규정」 신구조문대비표</w:t>
      </w:r>
    </w:p>
    <w:p>
      <w:pPr>
        <w:spacing w:after="20" w:line="300"/>
        <w:jc w:val="left"/>
      </w:pPr>
      <w:r>
        <w:rPr>
          <w:rFonts w:ascii="Malgun Gothic" w:eastAsia="맑은 고딕" w:hAnsi="Malgun Gothic"/>
          <w:color w:val="5B6470"/>
          <w:sz w:val="18"/>
          <w:szCs w:val="18"/>
        </w:rPr>
        <w:t xml:space="preserve">2011. 12. 5. 개정 판 (시행 2011. 12. 5.) → 2010. 12. 20. 개정 판 (시행 2010. 12. 20.)</w:t>
      </w:r>
    </w:p>
    <w:p>
      <w:pPr>
        <w:spacing w:after="20" w:line="300"/>
        <w:jc w:val="left"/>
      </w:pPr>
      <w:r>
        <w:rPr>
          <w:rFonts w:ascii="Malgun Gothic" w:eastAsia="맑은 고딕" w:hAnsi="Malgun Gothic"/>
          <w:color w:val="5B6470"/>
          <w:sz w:val="18"/>
          <w:szCs w:val="18"/>
        </w:rPr>
        <w:t xml:space="preserve">바뀜 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https://suleap.syu.my/r/114/compare?from=298&amp;to=295 · 내려받은 때 2026. 10. 21. 오후 2:43:13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 대상</w:t>
            </w:r>
            <w:r>
              <w:rPr>
                <w:rFonts w:ascii="Malgun Gothic" w:eastAsia="맑은 고딕" w:hAnsi="Malgun Gothic"/>
                <w:b w:val="false"/>
                <w:bCs w:val="false"/>
                <w:sz w:val="19"/>
                <w:szCs w:val="19"/>
              </w:rPr>
              <w:t xml:space="preserve">)  ① 평가 대상은 본 대학 학칙에서 정하는 학과(부)를 말한다.</w:t>
            </w:r>
          </w:p>
          <w:p>
            <w:pPr>
              <w:spacing w:after="20" w:line="280"/>
            </w:pPr>
            <w:r>
              <w:rPr>
                <w:rFonts w:ascii="Malgun Gothic" w:eastAsia="맑은 고딕" w:hAnsi="Malgun Gothic"/>
                <w:b w:val="false"/>
                <w:bCs w:val="false"/>
                <w:sz w:val="19"/>
                <w:szCs w:val="19"/>
              </w:rPr>
              <w:t xml:space="preserve">② 통‧폐합된 학과(부)의 경우에는 존속하는 학과(부)에 통합하여 평가한다.</w:t>
            </w:r>
          </w:p>
          <w:p>
            <w:pPr>
              <w:spacing w:after="20" w:line="280"/>
            </w:pPr>
            <w:r>
              <w:rPr>
                <w:rFonts w:ascii="Malgun Gothic" w:eastAsia="맑은 고딕" w:hAnsi="Malgun Gothic"/>
                <w:b w:val="false"/>
                <w:bCs w:val="false"/>
                <w:sz w:val="19"/>
                <w:szCs w:val="19"/>
              </w:rPr>
              <w:t xml:space="preserve">③ 신설된 학과(부)의 경우에는 편제완성년도의 익년도부터 평가한다.</w:t>
            </w:r>
          </w:p>
          <w:p>
            <w:pPr>
              <w:spacing w:after="40" w:line="280"/>
            </w:pPr>
            <w:r>
              <w:rPr>
                <w:rFonts w:ascii="Malgun Gothic" w:eastAsia="맑은 고딕" w:hAnsi="Malgun Gothic"/>
                <w:b w:val="false"/>
                <w:bCs w:val="false"/>
                <w:sz w:val="19"/>
                <w:szCs w:val="19"/>
              </w:rPr>
              <w:t xml:space="preserve">④ 분리된 학과(부)의 경우에는 분리된 학과(부)의 실적을 평가에 포함한다.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 대상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① 평가 대상은 본 대학 학칙에서 정하는 학과(부)를 말한다.</w:t>
            </w:r>
          </w:p>
          <w:p>
            <w:pPr>
              <w:spacing w:after="20" w:line="280"/>
            </w:pPr>
            <w:r>
              <w:rPr>
                <w:rFonts w:ascii="Malgun Gothic" w:eastAsia="맑은 고딕" w:hAnsi="Malgun Gothic"/>
                <w:b w:val="false"/>
                <w:bCs w:val="false"/>
                <w:sz w:val="19"/>
                <w:szCs w:val="19"/>
              </w:rPr>
              <w:t xml:space="preserve">② 통‧폐합된 학과(부)의 경우에는 존속하는 학과(부)에 통합하여 평가한다.</w:t>
            </w:r>
          </w:p>
          <w:p>
            <w:pPr>
              <w:spacing w:after="20" w:line="280"/>
            </w:pPr>
            <w:r>
              <w:rPr>
                <w:rFonts w:ascii="Malgun Gothic" w:eastAsia="맑은 고딕" w:hAnsi="Malgun Gothic"/>
                <w:b w:val="false"/>
                <w:bCs w:val="false"/>
                <w:sz w:val="19"/>
                <w:szCs w:val="19"/>
              </w:rPr>
              <w:t xml:space="preserve">③ 신설된 학과(부)의 경우에는 편제완성년도의 익년도부터 평가한다.</w:t>
            </w:r>
          </w:p>
          <w:p>
            <w:pPr>
              <w:spacing w:after="40" w:line="280"/>
            </w:pPr>
            <w:r>
              <w:rPr>
                <w:rFonts w:ascii="Malgun Gothic" w:eastAsia="맑은 고딕" w:hAnsi="Malgun Gothic"/>
                <w:b w:val="false"/>
                <w:bCs w:val="false"/>
                <w:sz w:val="19"/>
                <w:szCs w:val="19"/>
              </w:rPr>
              <w:t xml:space="preserve">④ 분리된 학과(부)의 경우에는 분리된 학과(부)의 실적을 평가에 포함한다.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기획부장,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기획부장으로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평가기획연구위원회)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학과(부)평가의 기획‧조정 및 운영 등을 위하여 학과(부)평가기획연구위원회를 둔다.</w:t>
            </w:r>
          </w:p>
          <w:p>
            <w:pPr>
              <w:spacing w:after="20" w:line="280"/>
            </w:pPr>
            <w:r>
              <w:rPr>
                <w:rFonts w:ascii="Malgun Gothic" w:eastAsia="맑은 고딕" w:hAnsi="Malgun Gothic"/>
                <w:b w:val="false"/>
                <w:bCs w:val="false"/>
                <w:sz w:val="19"/>
                <w:szCs w:val="19"/>
              </w:rPr>
              <w:t xml:space="preserve">② 학과(부)평가기획연구위원회는 기획처장, 교목처장, 교무처장, 학생지원처장, 대외협력처장, 사무처장, 연구진흥실장(산학협력단장), 기획부장, 각 단과대학장으로 구성한다.</w:t>
            </w:r>
          </w:p>
          <w:p>
            <w:pPr>
              <w:spacing w:after="20" w:line="280"/>
            </w:pPr>
            <w:r>
              <w:rPr>
                <w:rFonts w:ascii="Malgun Gothic" w:eastAsia="맑은 고딕" w:hAnsi="Malgun Gothic"/>
                <w:b w:val="false"/>
                <w:bCs w:val="false"/>
                <w:sz w:val="19"/>
                <w:szCs w:val="19"/>
              </w:rPr>
              <w:t xml:space="preserve">③ 위원장은 기획처장, 서기는 기획부장으로 하며, 당연직 위원의 임기는 보직재임기간으로 한다.</w:t>
            </w:r>
          </w:p>
          <w:p>
            <w:pPr>
              <w:spacing w:after="20" w:line="280"/>
            </w:pPr>
            <w:r>
              <w:rPr>
                <w:rFonts w:ascii="Malgun Gothic" w:eastAsia="맑은 고딕" w:hAnsi="Malgun Gothic"/>
                <w:b w:val="false"/>
                <w:bCs w:val="false"/>
                <w:sz w:val="19"/>
                <w:szCs w:val="19"/>
              </w:rPr>
              <w:t xml:space="preserve">④ 학과(부)평가기획연구위원회는 다음 각 호의 업무를 수행한다.</w:t>
            </w:r>
          </w:p>
          <w:p>
            <w:pPr>
              <w:spacing w:after="20" w:line="280"/>
            </w:pPr>
            <w:r>
              <w:rPr>
                <w:rFonts w:ascii="Malgun Gothic" w:eastAsia="맑은 고딕" w:hAnsi="Malgun Gothic"/>
                <w:b w:val="false"/>
                <w:bCs w:val="false"/>
                <w:sz w:val="19"/>
                <w:szCs w:val="19"/>
              </w:rPr>
              <w:t xml:space="preserve">1. 학과(부)평가 관련 규정의 제‧개정과 폐지에 관한 사항</w:t>
            </w:r>
          </w:p>
          <w:p>
            <w:pPr>
              <w:spacing w:after="20" w:line="280"/>
            </w:pPr>
            <w:r>
              <w:rPr>
                <w:rFonts w:ascii="Malgun Gothic" w:eastAsia="맑은 고딕" w:hAnsi="Malgun Gothic"/>
                <w:b w:val="false"/>
                <w:bCs w:val="false"/>
                <w:sz w:val="19"/>
                <w:szCs w:val="19"/>
              </w:rPr>
              <w:t xml:space="preserve">2. 학과(부)평가 기본계획 수립 및 운영에 관한 사항</w:t>
            </w:r>
          </w:p>
          <w:p>
            <w:pPr>
              <w:spacing w:after="20" w:line="280"/>
            </w:pPr>
            <w:r>
              <w:rPr>
                <w:rFonts w:ascii="Malgun Gothic" w:eastAsia="맑은 고딕" w:hAnsi="Malgun Gothic"/>
                <w:b w:val="false"/>
                <w:bCs w:val="false"/>
                <w:sz w:val="19"/>
                <w:szCs w:val="19"/>
              </w:rPr>
              <w:t xml:space="preserve">3. 학과(부)평가 기준, 지표 개발 및 개선에 관한 사항</w:t>
            </w:r>
          </w:p>
          <w:p>
            <w:pPr>
              <w:spacing w:after="20" w:line="280"/>
            </w:pPr>
            <w:r>
              <w:rPr>
                <w:rFonts w:ascii="Malgun Gothic" w:eastAsia="맑은 고딕" w:hAnsi="Malgun Gothic"/>
                <w:b w:val="false"/>
                <w:bCs w:val="false"/>
                <w:sz w:val="19"/>
                <w:szCs w:val="19"/>
              </w:rPr>
              <w:t xml:space="preserve">4. 학과(부)평가 기본계획 조정과 개선대책에 관한 사항</w:t>
            </w:r>
          </w:p>
          <w:p>
            <w:pPr>
              <w:spacing w:after="20" w:line="280"/>
            </w:pPr>
            <w:r>
              <w:rPr>
                <w:rFonts w:ascii="Malgun Gothic" w:eastAsia="맑은 고딕" w:hAnsi="Malgun Gothic"/>
                <w:b w:val="false"/>
                <w:bCs w:val="false"/>
                <w:sz w:val="19"/>
                <w:szCs w:val="19"/>
              </w:rPr>
              <w:t xml:space="preserve">5. 학과(부)평가심사위원 추천에 관한 사항</w:t>
            </w:r>
          </w:p>
          <w:p>
            <w:pPr>
              <w:spacing w:after="20" w:line="280"/>
            </w:pPr>
            <w:r>
              <w:rPr>
                <w:rFonts w:ascii="Malgun Gothic" w:eastAsia="맑은 고딕" w:hAnsi="Malgun Gothic"/>
                <w:b w:val="false"/>
                <w:bCs w:val="false"/>
                <w:sz w:val="19"/>
                <w:szCs w:val="19"/>
              </w:rPr>
              <w:t xml:space="preserve">6. 학과(부)평가를 위한 예산 확보와 평가활동 지원대책 수립에 관한 사항</w:t>
            </w:r>
          </w:p>
          <w:p>
            <w:pPr>
              <w:spacing w:after="20" w:line="280"/>
            </w:pPr>
            <w:r>
              <w:rPr>
                <w:rFonts w:ascii="Malgun Gothic" w:eastAsia="맑은 고딕" w:hAnsi="Malgun Gothic"/>
                <w:b w:val="false"/>
                <w:bCs w:val="false"/>
                <w:sz w:val="19"/>
                <w:szCs w:val="19"/>
              </w:rPr>
              <w:t xml:space="preserve">7. 학과(부)평가 결과의 공시 및 대학발전계획 반영에 관한 사항</w:t>
            </w:r>
          </w:p>
          <w:p>
            <w:pPr>
              <w:spacing w:after="20" w:line="280"/>
            </w:pPr>
            <w:r>
              <w:rPr>
                <w:rFonts w:ascii="Malgun Gothic" w:eastAsia="맑은 고딕" w:hAnsi="Malgun Gothic"/>
                <w:b w:val="false"/>
                <w:bCs w:val="false"/>
                <w:sz w:val="19"/>
                <w:szCs w:val="19"/>
              </w:rPr>
              <w:t xml:space="preserve">8. 그 밖의 학과(부)평가와 관련하여 총장이 필요하다고 인정되는 사항</w:t>
            </w:r>
          </w:p>
          <w:p>
            <w:pPr>
              <w:spacing w:after="20" w:line="280"/>
            </w:pPr>
            <w:r>
              <w:rPr>
                <w:rFonts w:ascii="Malgun Gothic" w:eastAsia="맑은 고딕" w:hAnsi="Malgun Gothic"/>
                <w:b w:val="false"/>
                <w:bCs w:val="false"/>
                <w:sz w:val="19"/>
                <w:szCs w:val="19"/>
              </w:rPr>
              <w:t xml:space="preserve">⑤ 학과(부)평가기획연구위원회 회의는 위원장이 필요하다고 인정할 때 소집하여 회의를 주관하며, 재적위원 1/2 이상의 출석으로 개회하고, 출석위원 2/3 이상의 찬성으로 의결한다.</w:t>
            </w:r>
          </w:p>
          <w:p>
            <w:pPr>
              <w:spacing w:after="40" w:line="280"/>
            </w:pPr>
            <w:r>
              <w:rPr>
                <w:rFonts w:ascii="Malgun Gothic" w:eastAsia="맑은 고딕" w:hAnsi="Malgun Gothic"/>
                <w:b w:val="false"/>
                <w:bCs w:val="false"/>
                <w:sz w:val="19"/>
                <w:szCs w:val="19"/>
              </w:rPr>
              <w:t xml:space="preserve">⑥ 위원회는 위원장 및 서기의 날인이 된 회의록을 작성하여야 하며, 이를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평가등급기준은 학과(부)에서 선택한 평가지표별 최근 </w:t>
            </w:r>
            <w:r>
              <w:rPr>
                <w:rFonts w:ascii="Malgun Gothic" w:eastAsia="맑은 고딕" w:hAnsi="Malgun Gothic"/>
                <w:b w:val="false"/>
                <w:bCs w:val="false"/>
                <w:sz w:val="19"/>
                <w:szCs w:val="19"/>
                <w:u w:val="single"/>
              </w:rPr>
              <w:t xml:space="preserve">최근 </w:t>
            </w:r>
            <w:r>
              <w:rPr>
                <w:rFonts w:ascii="Malgun Gothic" w:eastAsia="맑은 고딕" w:hAnsi="Malgun Gothic"/>
                <w:b w:val="false"/>
                <w:bCs w:val="false"/>
                <w:sz w:val="19"/>
                <w:szCs w:val="19"/>
              </w:rPr>
              <w:t xml:space="preserve">3년간 실적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평균으로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 이의 설정이 어</w:t>
            </w:r>
            <w:r>
              <w:rPr>
                <w:rFonts w:ascii="Malgun Gothic" w:eastAsia="맑은 고딕" w:hAnsi="Malgun Gothic"/>
                <w:b w:val="false"/>
                <w:bCs w:val="false"/>
                <w:sz w:val="19"/>
                <w:szCs w:val="19"/>
              </w:rPr>
              <w:t xml:space="preserve">려</w:t>
            </w:r>
            <w:r>
              <w:rPr>
                <w:rFonts w:ascii="Malgun Gothic" w:eastAsia="맑은 고딕" w:hAnsi="Malgun Gothic"/>
                <w:b w:val="false"/>
                <w:bCs w:val="false"/>
                <w:sz w:val="19"/>
                <w:szCs w:val="19"/>
                <w:u w:val="single"/>
              </w:rPr>
              <w:t xml:space="preserve">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지표는 </w:t>
            </w:r>
            <w:r>
              <w:rPr>
                <w:rFonts w:ascii="Malgun Gothic" w:eastAsia="맑은 고딕" w:hAnsi="Malgun Gothic"/>
                <w:b w:val="false"/>
                <w:bCs w:val="false"/>
                <w:sz w:val="19"/>
                <w:szCs w:val="19"/>
              </w:rPr>
              <w:t xml:space="preserve">학과(부)와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심사</w:t>
            </w:r>
            <w:r>
              <w:rPr>
                <w:rFonts w:ascii="Malgun Gothic" w:eastAsia="맑은 고딕" w:hAnsi="Malgun Gothic"/>
                <w:b w:val="false"/>
                <w:bCs w:val="false"/>
                <w:sz w:val="19"/>
                <w:szCs w:val="19"/>
              </w:rPr>
              <w:t xml:space="preserve">단이 </w:t>
            </w:r>
            <w:r>
              <w:rPr>
                <w:rFonts w:ascii="Malgun Gothic" w:eastAsia="맑은 고딕" w:hAnsi="Malgun Gothic"/>
                <w:b w:val="false"/>
                <w:bCs w:val="false"/>
                <w:sz w:val="19"/>
                <w:szCs w:val="19"/>
              </w:rPr>
              <w:t xml:space="preserve">협의하여 결정한다.</w:t>
            </w:r>
            <w:r>
              <w:rPr>
                <w:rFonts w:ascii="Malgun Gothic" w:eastAsia="맑은 고딕" w:hAnsi="Malgun Gothic"/>
                <w:b w:val="false"/>
                <w:bCs w:val="false"/>
                <w:sz w:val="19"/>
                <w:szCs w:val="19"/>
                <w:u w:val="single"/>
              </w:rPr>
              <w:t xml:space="preserve"> 〈개정 2011-12-05〉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평가지표별 평가등급기준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평가지표별 평가등급기준은 학과(부)에서 선택한 평가지표별 최근 </w:t>
            </w:r>
            <w:r>
              <w:rPr>
                <w:rFonts w:ascii="Malgun Gothic" w:eastAsia="맑은 고딕" w:hAnsi="Malgun Gothic"/>
                <w:b w:val="false"/>
                <w:bCs w:val="false"/>
                <w:sz w:val="19"/>
                <w:szCs w:val="19"/>
              </w:rPr>
              <w:t xml:space="preserve">3년간 실적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발전전략을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려</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학과(부)와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단이 </w:t>
            </w:r>
            <w:r>
              <w:rPr>
                <w:rFonts w:ascii="Malgun Gothic" w:eastAsia="맑은 고딕" w:hAnsi="Malgun Gothic"/>
                <w:b w:val="false"/>
                <w:bCs w:val="false"/>
                <w:sz w:val="19"/>
                <w:szCs w:val="19"/>
                <w:u w:val="single"/>
              </w:rPr>
              <w:t xml:space="preserve">상호 </w:t>
            </w:r>
            <w:r>
              <w:rPr>
                <w:rFonts w:ascii="Malgun Gothic" w:eastAsia="맑은 고딕" w:hAnsi="Malgun Gothic"/>
                <w:b w:val="false"/>
                <w:bCs w:val="false"/>
                <w:sz w:val="19"/>
                <w:szCs w:val="19"/>
              </w:rPr>
              <w:t xml:space="preserve">협의하여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평가등급에 따른 환산점수는 표와 같이 등급별로 적용한다.</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E</w:t>
            </w:r>
          </w:p>
          <w:p>
            <w:pPr>
              <w:spacing w:after="20" w:line="280"/>
            </w:pPr>
            <w:r>
              <w:rPr>
                <w:rFonts w:ascii="Malgun Gothic" w:eastAsia="맑은 고딕" w:hAnsi="Malgun Gothic"/>
                <w:b w:val="false"/>
                <w:bCs w:val="false"/>
                <w:sz w:val="19"/>
                <w:szCs w:val="19"/>
              </w:rPr>
              <w:t xml:space="preserve">환산점수</w:t>
            </w:r>
          </w:p>
          <w:p>
            <w:pPr>
              <w:spacing w:after="20" w:line="280"/>
            </w:pPr>
            <w:r>
              <w:rPr>
                <w:rFonts w:ascii="Malgun Gothic" w:eastAsia="맑은 고딕" w:hAnsi="Malgun Gothic"/>
                <w:b w:val="false"/>
                <w:bCs w:val="false"/>
                <w:sz w:val="19"/>
                <w:szCs w:val="19"/>
              </w:rPr>
              <w:t xml:space="preserve">가중치×1.0</w:t>
            </w:r>
          </w:p>
          <w:p>
            <w:pPr>
              <w:spacing w:after="20" w:line="280"/>
            </w:pPr>
            <w:r>
              <w:rPr>
                <w:rFonts w:ascii="Malgun Gothic" w:eastAsia="맑은 고딕" w:hAnsi="Malgun Gothic"/>
                <w:b w:val="false"/>
                <w:bCs w:val="false"/>
                <w:sz w:val="19"/>
                <w:szCs w:val="19"/>
              </w:rPr>
              <w:t xml:space="preserve">가중치×0.85</w:t>
            </w:r>
          </w:p>
          <w:p>
            <w:pPr>
              <w:spacing w:after="20" w:line="280"/>
            </w:pPr>
            <w:r>
              <w:rPr>
                <w:rFonts w:ascii="Malgun Gothic" w:eastAsia="맑은 고딕" w:hAnsi="Malgun Gothic"/>
                <w:b w:val="false"/>
                <w:bCs w:val="false"/>
                <w:sz w:val="19"/>
                <w:szCs w:val="19"/>
              </w:rPr>
              <w:t xml:space="preserve">가중치×0.7</w:t>
            </w:r>
          </w:p>
          <w:p>
            <w:pPr>
              <w:spacing w:after="20" w:line="280"/>
            </w:pPr>
            <w:r>
              <w:rPr>
                <w:rFonts w:ascii="Malgun Gothic" w:eastAsia="맑은 고딕" w:hAnsi="Malgun Gothic"/>
                <w:b w:val="false"/>
                <w:bCs w:val="false"/>
                <w:sz w:val="19"/>
                <w:szCs w:val="19"/>
              </w:rPr>
              <w:t xml:space="preserve">가중치×0.55</w:t>
            </w:r>
          </w:p>
          <w:p>
            <w:pPr>
              <w:spacing w:after="20" w:line="280"/>
            </w:pPr>
            <w:r>
              <w:rPr>
                <w:rFonts w:ascii="Malgun Gothic" w:eastAsia="맑은 고딕" w:hAnsi="Malgun Gothic"/>
                <w:b w:val="false"/>
                <w:bCs w:val="false"/>
                <w:sz w:val="19"/>
                <w:szCs w:val="19"/>
              </w:rPr>
              <w:t xml:space="preserve">가중치×0.4</w:t>
            </w:r>
          </w:p>
          <w:p>
            <w:pPr>
              <w:spacing w:after="40" w:line="280"/>
            </w:pPr>
            <w:r>
              <w:rPr>
                <w:rFonts w:ascii="Malgun Gothic" w:eastAsia="맑은 고딕" w:hAnsi="Malgun Gothic"/>
                <w:b w:val="false"/>
                <w:bCs w:val="false"/>
                <w:sz w:val="19"/>
                <w:szCs w:val="19"/>
                <w:u w:val="single"/>
              </w:rPr>
              <w:t xml:space="preserve">② 평가지표별 평가등급은 별도 지침의 평가등급표에 따라 평가지표별 평가등급기준을 달성한 경우 ‘B’등급으로, 1등급 초과 달성한 경우 ‘A’등급으로, 1등급 하락일 경우 ‘C’등급으로, 2등급 하락일 경우 ‘D’등급으로, 3등급 하락일 경우 ‘E’등급으로 한다. 단, 평가지표 중 학생만족도와, 재정기여도, 예산집행율은 10점 만점의 실점수를 소수점 둘째자리에서 반올림하여 적용한다. 〈신설 2011-12-05〉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평가등급환산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평가등급에 따른 환산점수는 표와 같이 등급별로 적용한다.</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E</w:t>
            </w:r>
          </w:p>
          <w:p>
            <w:pPr>
              <w:spacing w:after="20" w:line="280"/>
            </w:pPr>
            <w:r>
              <w:rPr>
                <w:rFonts w:ascii="Malgun Gothic" w:eastAsia="맑은 고딕" w:hAnsi="Malgun Gothic"/>
                <w:b w:val="false"/>
                <w:bCs w:val="false"/>
                <w:sz w:val="19"/>
                <w:szCs w:val="19"/>
              </w:rPr>
              <w:t xml:space="preserve">환산점수</w:t>
            </w:r>
          </w:p>
          <w:p>
            <w:pPr>
              <w:spacing w:after="20" w:line="280"/>
            </w:pPr>
            <w:r>
              <w:rPr>
                <w:rFonts w:ascii="Malgun Gothic" w:eastAsia="맑은 고딕" w:hAnsi="Malgun Gothic"/>
                <w:b w:val="false"/>
                <w:bCs w:val="false"/>
                <w:sz w:val="19"/>
                <w:szCs w:val="19"/>
              </w:rPr>
              <w:t xml:space="preserve">가중치×1.0</w:t>
            </w:r>
          </w:p>
          <w:p>
            <w:pPr>
              <w:spacing w:after="20" w:line="280"/>
            </w:pPr>
            <w:r>
              <w:rPr>
                <w:rFonts w:ascii="Malgun Gothic" w:eastAsia="맑은 고딕" w:hAnsi="Malgun Gothic"/>
                <w:b w:val="false"/>
                <w:bCs w:val="false"/>
                <w:sz w:val="19"/>
                <w:szCs w:val="19"/>
              </w:rPr>
              <w:t xml:space="preserve">가중치×0.85</w:t>
            </w:r>
          </w:p>
          <w:p>
            <w:pPr>
              <w:spacing w:after="20" w:line="280"/>
            </w:pPr>
            <w:r>
              <w:rPr>
                <w:rFonts w:ascii="Malgun Gothic" w:eastAsia="맑은 고딕" w:hAnsi="Malgun Gothic"/>
                <w:b w:val="false"/>
                <w:bCs w:val="false"/>
                <w:sz w:val="19"/>
                <w:szCs w:val="19"/>
              </w:rPr>
              <w:t xml:space="preserve">가중치×0.7</w:t>
            </w:r>
          </w:p>
          <w:p>
            <w:pPr>
              <w:spacing w:after="20" w:line="280"/>
            </w:pPr>
            <w:r>
              <w:rPr>
                <w:rFonts w:ascii="Malgun Gothic" w:eastAsia="맑은 고딕" w:hAnsi="Malgun Gothic"/>
                <w:b w:val="false"/>
                <w:bCs w:val="false"/>
                <w:sz w:val="19"/>
                <w:szCs w:val="19"/>
              </w:rPr>
              <w:t xml:space="preserve">가중치×0.55</w:t>
            </w:r>
          </w:p>
          <w:p>
            <w:pPr>
              <w:spacing w:after="40" w:line="280"/>
            </w:pPr>
            <w:r>
              <w:rPr>
                <w:rFonts w:ascii="Malgun Gothic" w:eastAsia="맑은 고딕" w:hAnsi="Malgun Gothic"/>
                <w:b w:val="false"/>
                <w:bCs w:val="false"/>
                <w:sz w:val="19"/>
                <w:szCs w:val="19"/>
              </w:rPr>
              <w:t xml:space="preserve">가중치×0.4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평가단에서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w:t>
            </w:r>
            <w:r>
              <w:rPr>
                <w:rFonts w:ascii="Malgun Gothic" w:eastAsia="맑은 고딕" w:hAnsi="Malgun Gothic"/>
                <w:b w:val="false"/>
                <w:bCs w:val="false"/>
                <w:sz w:val="19"/>
                <w:szCs w:val="19"/>
                <w:u w:val="single"/>
              </w:rPr>
              <w:t xml:space="preserve"> 단, 평가결과의 평정은 소수점 첫째자리에서 올림하여 적용한다.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40" w:line="280"/>
            </w:pPr>
            <w:r>
              <w:rPr>
                <w:rFonts w:ascii="Malgun Gothic" w:eastAsia="맑은 고딕" w:hAnsi="Malgun Gothic"/>
                <w:b w:val="false"/>
                <w:bCs w:val="false"/>
                <w:sz w:val="19"/>
                <w:szCs w:val="19"/>
              </w:rPr>
              <w:t xml:space="preserve">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평가결과의 공시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평가단에서 제출한 평가보고서를 바탕으로 그 결과를 대학이사회(대학운영위원회)에 보고한다.</w:t>
            </w:r>
          </w:p>
          <w:p>
            <w:pPr>
              <w:spacing w:after="20" w:line="280"/>
            </w:pPr>
            <w:r>
              <w:rPr>
                <w:rFonts w:ascii="Malgun Gothic" w:eastAsia="맑은 고딕" w:hAnsi="Malgun Gothic"/>
                <w:b w:val="false"/>
                <w:bCs w:val="false"/>
                <w:sz w:val="19"/>
                <w:szCs w:val="19"/>
              </w:rPr>
              <w:t xml:space="preserve">② 대학이사회(대학운영위원회)에 보고된 평가결과는 그 회의가 종료된 후 표와 같이 등급을 부여하여 홈페이지에 공시한다.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91</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이하</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40" w:line="280"/>
            </w:pPr>
            <w:r>
              <w:rPr>
                <w:rFonts w:ascii="Malgun Gothic" w:eastAsia="맑은 고딕" w:hAnsi="Malgun Gothic"/>
                <w:b w:val="false"/>
                <w:bCs w:val="false"/>
                <w:sz w:val="19"/>
                <w:szCs w:val="19"/>
              </w:rPr>
              <w:t xml:space="preserve">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1등</w:t>
            </w:r>
          </w:p>
          <w:p>
            <w:pPr>
              <w:spacing w:after="20" w:line="280"/>
            </w:pPr>
            <w:r>
              <w:rPr>
                <w:rFonts w:ascii="Malgun Gothic" w:eastAsia="맑은 고딕" w:hAnsi="Malgun Gothic"/>
                <w:b w:val="false"/>
                <w:bCs w:val="false"/>
                <w:sz w:val="19"/>
                <w:szCs w:val="19"/>
              </w:rPr>
              <w:t xml:space="preserve">2등</w:t>
            </w:r>
          </w:p>
          <w:p>
            <w:pPr>
              <w:spacing w:after="20" w:line="280"/>
            </w:pPr>
            <w:r>
              <w:rPr>
                <w:rFonts w:ascii="Malgun Gothic" w:eastAsia="맑은 고딕" w:hAnsi="Malgun Gothic"/>
                <w:b w:val="false"/>
                <w:bCs w:val="false"/>
                <w:sz w:val="19"/>
                <w:szCs w:val="19"/>
              </w:rPr>
              <w:t xml:space="preserve">3등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학과(부) 자율경영에 참여한 학과(부) 중에 평가결과 ‘수'</w:t>
            </w:r>
            <w:r>
              <w:rPr>
                <w:rFonts w:ascii="Malgun Gothic" w:eastAsia="맑은 고딕" w:hAnsi="Malgun Gothic"/>
                <w:b w:val="false"/>
                <w:bCs w:val="false"/>
                <w:sz w:val="19"/>
                <w:szCs w:val="19"/>
              </w:rPr>
              <w:t xml:space="preserve">등급과 ‘우’</w:t>
            </w:r>
            <w:r>
              <w:rPr>
                <w:rFonts w:ascii="Malgun Gothic" w:eastAsia="맑은 고딕" w:hAnsi="Malgun Gothic"/>
                <w:b w:val="false"/>
                <w:bCs w:val="false"/>
                <w:sz w:val="19"/>
                <w:szCs w:val="19"/>
              </w:rPr>
              <w:t xml:space="preserve">등급을 받은 우수한 학과(부)는 학과(부) 발전전략에 의해 지원이 필요한 경우 우선적으로 예산을 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우수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평가결과가 우수한 학과(부)는 표와 같이 포상하고 그 내용을 홈페이지에 공시한다.</w:t>
            </w:r>
          </w:p>
          <w:p>
            <w:pPr>
              <w:spacing w:after="20" w:line="280"/>
            </w:pPr>
            <w:r>
              <w:rPr>
                <w:rFonts w:ascii="Malgun Gothic" w:eastAsia="맑은 고딕" w:hAnsi="Malgun Gothic"/>
                <w:b w:val="false"/>
                <w:bCs w:val="false"/>
                <w:sz w:val="19"/>
                <w:szCs w:val="19"/>
              </w:rPr>
              <w:t xml:space="preserve">구 분</w:t>
            </w:r>
          </w:p>
          <w:p>
            <w:pPr>
              <w:spacing w:after="20" w:line="280"/>
            </w:pPr>
            <w:r>
              <w:rPr>
                <w:rFonts w:ascii="Malgun Gothic" w:eastAsia="맑은 고딕" w:hAnsi="Malgun Gothic"/>
                <w:b w:val="false"/>
                <w:bCs w:val="false"/>
                <w:sz w:val="19"/>
                <w:szCs w:val="19"/>
              </w:rPr>
              <w:t xml:space="preserve">평가 순위</w:t>
            </w:r>
          </w:p>
          <w:p>
            <w:pPr>
              <w:spacing w:after="20" w:line="280"/>
            </w:pPr>
            <w:r>
              <w:rPr>
                <w:rFonts w:ascii="Malgun Gothic" w:eastAsia="맑은 고딕" w:hAnsi="Malgun Gothic"/>
                <w:b w:val="false"/>
                <w:bCs w:val="false"/>
                <w:sz w:val="19"/>
                <w:szCs w:val="19"/>
              </w:rPr>
              <w:t xml:space="preserve">비 고</w:t>
            </w:r>
          </w:p>
          <w:p>
            <w:pPr>
              <w:spacing w:after="20" w:line="280"/>
            </w:pPr>
            <w:r>
              <w:rPr>
                <w:rFonts w:ascii="Malgun Gothic" w:eastAsia="맑은 고딕" w:hAnsi="Malgun Gothic"/>
                <w:b w:val="false"/>
                <w:bCs w:val="false"/>
                <w:sz w:val="19"/>
                <w:szCs w:val="19"/>
              </w:rPr>
              <w:t xml:space="preserve">1등</w:t>
            </w:r>
          </w:p>
          <w:p>
            <w:pPr>
              <w:spacing w:after="20" w:line="280"/>
            </w:pPr>
            <w:r>
              <w:rPr>
                <w:rFonts w:ascii="Malgun Gothic" w:eastAsia="맑은 고딕" w:hAnsi="Malgun Gothic"/>
                <w:b w:val="false"/>
                <w:bCs w:val="false"/>
                <w:sz w:val="19"/>
                <w:szCs w:val="19"/>
              </w:rPr>
              <w:t xml:space="preserve">2등</w:t>
            </w:r>
          </w:p>
          <w:p>
            <w:pPr>
              <w:spacing w:after="20" w:line="280"/>
            </w:pPr>
            <w:r>
              <w:rPr>
                <w:rFonts w:ascii="Malgun Gothic" w:eastAsia="맑은 고딕" w:hAnsi="Malgun Gothic"/>
                <w:b w:val="false"/>
                <w:bCs w:val="false"/>
                <w:sz w:val="19"/>
                <w:szCs w:val="19"/>
              </w:rPr>
              <w:t xml:space="preserve">3등</w:t>
            </w:r>
          </w:p>
          <w:p>
            <w:pPr>
              <w:spacing w:after="20" w:line="280"/>
            </w:pPr>
            <w:r>
              <w:rPr>
                <w:rFonts w:ascii="Malgun Gothic" w:eastAsia="맑은 고딕" w:hAnsi="Malgun Gothic"/>
                <w:b w:val="false"/>
                <w:bCs w:val="false"/>
                <w:sz w:val="19"/>
                <w:szCs w:val="19"/>
              </w:rPr>
              <w:t xml:space="preserve">포상 내용</w:t>
            </w:r>
          </w:p>
          <w:p>
            <w:pPr>
              <w:spacing w:after="20" w:line="280"/>
            </w:pPr>
            <w:r>
              <w:rPr>
                <w:rFonts w:ascii="Malgun Gothic" w:eastAsia="맑은 고딕" w:hAnsi="Malgun Gothic"/>
                <w:b w:val="false"/>
                <w:bCs w:val="false"/>
                <w:sz w:val="19"/>
                <w:szCs w:val="19"/>
              </w:rPr>
              <w:t xml:space="preserve">1천만원</w:t>
            </w:r>
          </w:p>
          <w:p>
            <w:pPr>
              <w:spacing w:after="20" w:line="280"/>
            </w:pPr>
            <w:r>
              <w:rPr>
                <w:rFonts w:ascii="Malgun Gothic" w:eastAsia="맑은 고딕" w:hAnsi="Malgun Gothic"/>
                <w:b w:val="false"/>
                <w:bCs w:val="false"/>
                <w:sz w:val="19"/>
                <w:szCs w:val="19"/>
              </w:rPr>
              <w:t xml:space="preserve">700만원</w:t>
            </w:r>
          </w:p>
          <w:p>
            <w:pPr>
              <w:spacing w:after="20" w:line="280"/>
            </w:pPr>
            <w:r>
              <w:rPr>
                <w:rFonts w:ascii="Malgun Gothic" w:eastAsia="맑은 고딕" w:hAnsi="Malgun Gothic"/>
                <w:b w:val="false"/>
                <w:bCs w:val="false"/>
                <w:sz w:val="19"/>
                <w:szCs w:val="19"/>
              </w:rPr>
              <w:t xml:space="preserve">500만원</w:t>
            </w:r>
          </w:p>
          <w:p>
            <w:pPr>
              <w:spacing w:after="20" w:line="280"/>
            </w:pPr>
            <w:r>
              <w:rPr>
                <w:rFonts w:ascii="Malgun Gothic" w:eastAsia="맑은 고딕" w:hAnsi="Malgun Gothic"/>
                <w:b w:val="false"/>
                <w:bCs w:val="false"/>
                <w:sz w:val="19"/>
                <w:szCs w:val="19"/>
              </w:rPr>
              <w:t xml:space="preserve">학과(부) 운영비</w:t>
            </w:r>
          </w:p>
          <w:p>
            <w:pPr>
              <w:spacing w:after="20" w:line="280"/>
            </w:pPr>
            <w:r>
              <w:rPr>
                <w:rFonts w:ascii="Malgun Gothic" w:eastAsia="맑은 고딕" w:hAnsi="Malgun Gothic"/>
                <w:b w:val="false"/>
                <w:bCs w:val="false"/>
                <w:sz w:val="19"/>
                <w:szCs w:val="19"/>
              </w:rPr>
              <w:t xml:space="preserve">② 평가결과가 우수한 학과(부)의 소속 교수는 연말 성과급 지급시 한 등급씩 상향조정하여 반영한다.</w:t>
            </w:r>
          </w:p>
          <w:p>
            <w:pPr>
              <w:spacing w:after="40" w:line="280"/>
            </w:pPr>
            <w:r>
              <w:rPr>
                <w:rFonts w:ascii="Malgun Gothic" w:eastAsia="맑은 고딕" w:hAnsi="Malgun Gothic"/>
                <w:b w:val="false"/>
                <w:bCs w:val="false"/>
                <w:sz w:val="19"/>
                <w:szCs w:val="19"/>
              </w:rPr>
              <w:t xml:space="preserve">③ 학과(부) 자율경영에 참여한 학과(부) 중에 평가결과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등급과 ‘우’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등급을 받은 우수한 학과(부)는 학과(부) 발전전략에 의해 지원이 필요한 경우 우선적으로 예산을 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‘양’</w:t>
            </w:r>
            <w:r>
              <w:rPr>
                <w:rFonts w:ascii="Malgun Gothic" w:eastAsia="맑은 고딕" w:hAnsi="Malgun Gothic"/>
                <w:b w:val="false"/>
                <w:bCs w:val="false"/>
                <w:sz w:val="19"/>
                <w:szCs w:val="19"/>
              </w:rPr>
              <w:t xml:space="preserve">등급과 ‘가’</w:t>
            </w:r>
            <w:r>
              <w:rPr>
                <w:rFonts w:ascii="Malgun Gothic" w:eastAsia="맑은 고딕" w:hAnsi="Malgun Gothic"/>
                <w:b w:val="false"/>
                <w:bCs w:val="false"/>
                <w:sz w:val="19"/>
                <w:szCs w:val="19"/>
              </w:rPr>
              <w:t xml:space="preserve">등급을 받은 학과(부)에 대해서는 정해진 비율[‘양’</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5%, ‘가’</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10%]에 따라 다음 학년도 입학정원을 감축한다. 단, 해당 학과(부)가 설득력 있는 발전전략을 수립하고 교수 전원이 확고한 의지를 표시할 경우 행정협의회의 결의를 거쳐 입학정원 감축 조치를 1년간 유예하여 준다.</w:t>
            </w:r>
            <w:r>
              <w:rPr>
                <w:rFonts w:ascii="Malgun Gothic" w:eastAsia="맑은 고딕" w:hAnsi="Malgun Gothic"/>
                <w:b w:val="false"/>
                <w:bCs w:val="false"/>
                <w:sz w:val="19"/>
                <w:szCs w:val="19"/>
                <w:u w:val="single"/>
              </w:rPr>
              <w:t xml:space="preserve"> 이 입학정원 감축 조치 유예는 1회에 한 한다. 〈개정 2011-12-05〉</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 열등한 학과(부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에 대한 조치)  ① 평가결과 ‘양’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등급과 ‘가’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등급을 받은 학과(부)에 대해서는 정해진 비율[‘양’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 － </w:t>
            </w:r>
            <w:r>
              <w:rPr>
                <w:rFonts w:ascii="Malgun Gothic" w:eastAsia="맑은 고딕" w:hAnsi="Malgun Gothic"/>
                <w:b w:val="false"/>
                <w:bCs w:val="false"/>
                <w:sz w:val="19"/>
                <w:szCs w:val="19"/>
              </w:rPr>
              <w:t xml:space="preserve">5%, ‘가’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등급</w:t>
            </w:r>
            <w:r>
              <w:rPr>
                <w:rFonts w:ascii="Malgun Gothic" w:eastAsia="맑은 고딕" w:hAnsi="Malgun Gothic"/>
                <w:b w:val="false"/>
                <w:bCs w:val="false"/>
                <w:sz w:val="19"/>
                <w:szCs w:val="19"/>
                <w:u w:val="single"/>
              </w:rPr>
              <w:t xml:space="preserve"> － </w:t>
            </w:r>
            <w:r>
              <w:rPr>
                <w:rFonts w:ascii="Malgun Gothic" w:eastAsia="맑은 고딕" w:hAnsi="Malgun Gothic"/>
                <w:b w:val="false"/>
                <w:bCs w:val="false"/>
                <w:sz w:val="19"/>
                <w:szCs w:val="19"/>
              </w:rPr>
              <w:t xml:space="preserve">10%]에 따라 다음 학년도 입학정원을 감축한다. 단, 해당 학과(부)가 설득력 있는 발전전략을 수립하고 교수 전원이 확고한 의지를 표시할 경우 행정협의회의 결의를 거쳐 입학정원 감축 조치를 1년간 유예하여 준다.</w:t>
            </w:r>
          </w:p>
          <w:p>
            <w:pPr>
              <w:spacing w:after="40" w:line="280"/>
            </w:pPr>
            <w:r>
              <w:rPr>
                <w:rFonts w:ascii="Malgun Gothic" w:eastAsia="맑은 고딕" w:hAnsi="Malgun Gothic"/>
                <w:b w:val="false"/>
                <w:bCs w:val="false"/>
                <w:sz w:val="19"/>
                <w:szCs w:val="19"/>
              </w:rPr>
              <w:t xml:space="preserve">② 이 규정 제17조 제1항 외에 평가결과가 열등한 학과(부)에 대하여 예산 등 별도의 행정적 조치나 불이익은 부과하지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w:t>
            </w:r>
            <w:r>
              <w:rPr>
                <w:rFonts w:ascii="Malgun Gothic" w:eastAsia="맑은 고딕" w:hAnsi="Malgun Gothic"/>
                <w:b w:val="false"/>
                <w:bCs w:val="false"/>
                <w:sz w:val="19"/>
                <w:szCs w:val="19"/>
                <w:u w:val="single"/>
              </w:rPr>
              <w:t xml:space="preserve"> 단, 해당 비율의 입학정원은 소수점 첫째자리에서 내림한 정수로 한다. 〈개정 2011-12-05〉</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69</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미만</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p>
          <w:p>
            <w:pPr>
              <w:spacing w:after="20" w:line="280"/>
            </w:pP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평가결과에 따른 입학정원 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정기 학과(부)평가 결과에 따라 표와 같이 등급별 해당 비율만큼 입학정원을 감축하는 입학정원 연동제를 추진한다.</w:t>
            </w:r>
          </w:p>
          <w:p>
            <w:pPr>
              <w:spacing w:after="20" w:line="280"/>
            </w:pPr>
            <w:r>
              <w:rPr>
                <w:rFonts w:ascii="Malgun Gothic" w:eastAsia="맑은 고딕" w:hAnsi="Malgun Gothic"/>
                <w:b w:val="false"/>
                <w:bCs w:val="false"/>
                <w:sz w:val="19"/>
                <w:szCs w:val="19"/>
              </w:rPr>
              <w:t xml:space="preserve">평가결과</w:t>
            </w:r>
          </w:p>
          <w:p>
            <w:pPr>
              <w:spacing w:after="20" w:line="280"/>
            </w:pPr>
            <w:r>
              <w:rPr>
                <w:rFonts w:ascii="Malgun Gothic" w:eastAsia="맑은 고딕" w:hAnsi="Malgun Gothic"/>
                <w:b w:val="false"/>
                <w:bCs w:val="false"/>
                <w:sz w:val="19"/>
                <w:szCs w:val="19"/>
                <w:u w:val="single"/>
              </w:rPr>
              <w:t xml:space="preserve">91</w:t>
            </w:r>
            <w:r>
              <w:rPr>
                <w:rFonts w:ascii="Malgun Gothic" w:eastAsia="맑은 고딕" w:hAnsi="Malgun Gothic"/>
                <w:b w:val="false"/>
                <w:bCs w:val="false"/>
                <w:sz w:val="19"/>
                <w:szCs w:val="19"/>
              </w:rPr>
              <w:t xml:space="preserve">점 이상</w:t>
            </w:r>
          </w:p>
          <w:p>
            <w:pPr>
              <w:spacing w:after="20" w:line="280"/>
            </w:pPr>
            <w:r>
              <w:rPr>
                <w:rFonts w:ascii="Malgun Gothic" w:eastAsia="맑은 고딕" w:hAnsi="Malgun Gothic"/>
                <w:b w:val="false"/>
                <w:bCs w:val="false"/>
                <w:sz w:val="19"/>
                <w:szCs w:val="19"/>
                <w:u w:val="single"/>
              </w:rPr>
              <w:t xml:space="preserve">81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71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61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rPr>
              <w:t xml:space="preserve">60점 </w:t>
            </w:r>
            <w:r>
              <w:rPr>
                <w:rFonts w:ascii="Malgun Gothic" w:eastAsia="맑은 고딕" w:hAnsi="Malgun Gothic"/>
                <w:b w:val="false"/>
                <w:bCs w:val="false"/>
                <w:sz w:val="19"/>
                <w:szCs w:val="19"/>
                <w:u w:val="single"/>
              </w:rPr>
              <w:t xml:space="preserve">이하</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미</w:t>
            </w:r>
          </w:p>
          <w:p>
            <w:pPr>
              <w:spacing w:after="20" w:line="280"/>
            </w:pP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가</w:t>
            </w:r>
          </w:p>
          <w:p>
            <w:pPr>
              <w:spacing w:after="20" w:line="280"/>
            </w:pPr>
            <w:r>
              <w:rPr>
                <w:rFonts w:ascii="Malgun Gothic" w:eastAsia="맑은 고딕" w:hAnsi="Malgun Gothic"/>
                <w:b w:val="false"/>
                <w:bCs w:val="false"/>
                <w:sz w:val="19"/>
                <w:szCs w:val="19"/>
              </w:rPr>
              <w:t xml:space="preserve">조정비율</w:t>
            </w:r>
          </w:p>
          <w:p>
            <w:pPr>
              <w:spacing w:after="20" w:line="280"/>
            </w:pP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감축</w:t>
            </w:r>
          </w:p>
          <w:p>
            <w:pPr>
              <w:spacing w:after="20" w:line="280"/>
            </w:pPr>
            <w:r>
              <w:rPr>
                <w:rFonts w:ascii="Malgun Gothic" w:eastAsia="맑은 고딕" w:hAnsi="Malgun Gothic"/>
                <w:b w:val="false"/>
                <w:bCs w:val="false"/>
                <w:sz w:val="19"/>
                <w:szCs w:val="19"/>
              </w:rPr>
              <w:t xml:space="preserve">입학정원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감축</w:t>
            </w:r>
          </w:p>
          <w:p>
            <w:pPr>
              <w:spacing w:after="20" w:line="280"/>
            </w:pPr>
            <w:r>
              <w:rPr>
                <w:rFonts w:ascii="Malgun Gothic" w:eastAsia="맑은 고딕" w:hAnsi="Malgun Gothic"/>
                <w:b w:val="false"/>
                <w:bCs w:val="false"/>
                <w:sz w:val="19"/>
                <w:szCs w:val="19"/>
              </w:rPr>
              <w:t xml:space="preserve">② 국가 및 교단 정책에 의해 입학정원이 결정되는 학과인 간호학과, 물리치료학과, 약학과, 유아교육과 그리고 신학과는 학과(부)평가는 실시하되 정원조정 대상에서는 제외한다.</w:t>
            </w:r>
          </w:p>
          <w:p>
            <w:pPr>
              <w:spacing w:after="40" w:line="280"/>
            </w:pPr>
            <w:r>
              <w:rPr>
                <w:rFonts w:ascii="Malgun Gothic" w:eastAsia="맑은 고딕" w:hAnsi="Malgun Gothic"/>
                <w:b w:val="false"/>
                <w:bCs w:val="false"/>
                <w:sz w:val="19"/>
                <w:szCs w:val="19"/>
              </w:rPr>
              <w:t xml:space="preserve">③ 입학정원 조정은 본 대학 중도탈락률이 서울지역 중도탈락률 평균 이하로 2년 연속 지속될 때까지 계속하여 실시한다.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「학과(부)평가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「학과(부)평가 규정」 신구조문대비표</dc:title>
  <dc:creator>삼육대학교 규정시스템</dc:creator>
  <cp:lastModifiedBy>Un-named</cp:lastModifiedBy>
  <cp:revision>1</cp:revision>
  <dcterms:created xsi:type="dcterms:W3CDTF">2026-10-21T05:43:13.410Z</dcterms:created>
  <dcterms:modified xsi:type="dcterms:W3CDTF">2026-10-21T05:43:13.410Z</dcterms:modified>
</cp:coreProperties>
</file>

<file path=docProps/custom.xml><?xml version="1.0" encoding="utf-8"?>
<Properties xmlns="http://schemas.openxmlformats.org/officeDocument/2006/custom-properties" xmlns:vt="http://schemas.openxmlformats.org/officeDocument/2006/docPropsVTypes"/>
</file>