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w:t>
      </w:r>
    </w:p>
    <w:p>
      <w:pPr>
        <w:spacing w:after="20" w:line="300"/>
        <w:jc w:val="left"/>
      </w:pPr>
      <w:r>
        <w:rPr>
          <w:rFonts w:ascii="Malgun Gothic" w:eastAsia="맑은 고딕" w:hAnsi="Malgun Gothic"/>
          <w:color w:val="5B6470"/>
          <w:sz w:val="18"/>
          <w:szCs w:val="18"/>
        </w:rPr>
        <w:t xml:space="preserve">규정 · 소관 연구처 · 현행 규정</w:t>
      </w:r>
    </w:p>
    <w:p>
      <w:pPr>
        <w:spacing w:after="20" w:line="300"/>
        <w:jc w:val="left"/>
      </w:pPr>
      <w:r>
        <w:rPr>
          <w:rFonts w:ascii="Malgun Gothic" w:eastAsia="맑은 고딕" w:hAnsi="Malgun Gothic"/>
          <w:color w:val="5B6470"/>
          <w:sz w:val="18"/>
          <w:szCs w:val="18"/>
        </w:rPr>
        <w:t xml:space="preserve">개정 2026. 3. 9. · 시행 2026. 3. 1. (현행 판)</w:t>
      </w:r>
    </w:p>
    <w:p>
      <w:pPr>
        <w:spacing w:after="200" w:line="300"/>
        <w:jc w:val="left"/>
      </w:pPr>
      <w:r>
        <w:rPr>
          <w:rFonts w:ascii="Malgun Gothic" w:eastAsia="맑은 고딕" w:hAnsi="Malgun Gothic"/>
          <w:color w:val="5B6470"/>
          <w:sz w:val="16"/>
          <w:szCs w:val="16"/>
        </w:rPr>
        <w:t xml:space="preserve">공식 원본 law.syu.ac.kr · https://suleap.syu.my/r/177 · 내려받은 때 2026. 10. 21. 오전 7:09:12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삼육대학교(이하 “본 대학교”라 한다.) 교원의 연구활동을 효율적으로 지원하기 위하여 연구비의 관리 및 운영에 관한 사항을 규정함을 목적으로 한다.</w:t>
      </w:r>
    </w:p>
    <w:p>
      <w:pPr>
        <w:spacing w:after="20" w:line="300"/>
        <w:jc w:val="left"/>
      </w:pPr>
      <w:r>
        <w:rPr>
          <w:rFonts w:ascii="Malgun Gothic" w:eastAsia="맑은 고딕" w:hAnsi="Malgun Gothic"/>
          <w:b/>
          <w:bCs/>
        </w:rPr>
        <w:t xml:space="preserve">제2조(용어정의)</w:t>
      </w:r>
    </w:p>
    <w:p>
      <w:pPr>
        <w:spacing w:after="20" w:line="300"/>
        <w:jc w:val="left"/>
      </w:pPr>
      <w:r>
        <w:rPr>
          <w:rFonts w:ascii="Malgun Gothic" w:eastAsia="맑은 고딕" w:hAnsi="Malgun Gothic"/>
        </w:rPr>
        <w:t xml:space="preserve">이 규정에서 사용하는 용어의 정의는 다음과 같다.</w:t>
      </w:r>
    </w:p>
    <w:p>
      <w:pPr>
        <w:spacing w:after="20" w:line="300"/>
        <w:jc w:val="left"/>
      </w:pPr>
      <w:r>
        <w:rPr>
          <w:rFonts w:ascii="Malgun Gothic" w:eastAsia="맑은 고딕" w:hAnsi="Malgun Gothic"/>
        </w:rPr>
        <w:t xml:space="preserve">①“연구비”라 함은 본 대학교 교원의 연구 활동을 지원하기 위하여 교내·외의 연구비 지원기관(이하 “지원기관”이라 한다.)에서 본 대학교의 교원에게 지급되는 각종 연구비를 말한다.</w:t>
      </w:r>
    </w:p>
    <w:p>
      <w:pPr>
        <w:spacing w:after="160" w:line="300"/>
        <w:jc w:val="left"/>
      </w:pPr>
      <w:r>
        <w:rPr>
          <w:rFonts w:ascii="Malgun Gothic" w:eastAsia="맑은 고딕" w:hAnsi="Malgun Gothic"/>
        </w:rPr>
        <w:t xml:space="preserve">②“간접연구경비”라 함은 연구활동을 행·재정적으로 지원하기 위하여 연구비 중에서 관리기관이 징수한 경비 또는 교원이 직접 납부한 경비와 지원기관에서 연구비에 부가하여 간접연구경비 명목으로 별도로 지급하는 경비를 말한다.</w:t>
      </w:r>
    </w:p>
    <w:p>
      <w:pPr>
        <w:spacing w:after="20" w:line="300"/>
        <w:jc w:val="left"/>
      </w:pPr>
      <w:r>
        <w:rPr>
          <w:rFonts w:ascii="Malgun Gothic" w:eastAsia="맑은 고딕" w:hAnsi="Malgun Gothic"/>
          <w:b/>
          <w:bCs/>
        </w:rPr>
        <w:t xml:space="preserve">제3조(적용범위)</w:t>
      </w:r>
    </w:p>
    <w:p>
      <w:pPr>
        <w:spacing w:after="160" w:line="300"/>
        <w:jc w:val="left"/>
      </w:pPr>
      <w:r>
        <w:rPr>
          <w:rFonts w:ascii="Malgun Gothic" w:eastAsia="맑은 고딕" w:hAnsi="Malgun Gothic"/>
        </w:rPr>
        <w:t xml:space="preserve">연구비 및 간접연구경비의 관리는 지원기관의 별도 규정이 있는 경우를 제외하고는 이 규정에 의한다.</w:t>
      </w:r>
    </w:p>
    <w:p>
      <w:pPr>
        <w:spacing w:after="20" w:line="300"/>
        <w:jc w:val="left"/>
      </w:pPr>
      <w:r>
        <w:rPr>
          <w:rFonts w:ascii="Malgun Gothic" w:eastAsia="맑은 고딕" w:hAnsi="Malgun Gothic"/>
          <w:b/>
          <w:bCs/>
        </w:rPr>
        <w:t xml:space="preserve">제4조(관리기관)</w:t>
      </w:r>
    </w:p>
    <w:p>
      <w:pPr>
        <w:spacing w:after="20" w:line="300"/>
        <w:jc w:val="left"/>
      </w:pPr>
      <w:r>
        <w:rPr>
          <w:rFonts w:ascii="Malgun Gothic" w:eastAsia="맑은 고딕" w:hAnsi="Malgun Gothic"/>
        </w:rPr>
        <w:t xml:space="preserve">①연구비 및 간접 연구경비는 연구비 관리기관(이하 “관리기관” 이라 한다.)에서 관리한다.</w:t>
      </w:r>
    </w:p>
    <w:p>
      <w:pPr>
        <w:spacing w:after="20" w:line="300"/>
        <w:jc w:val="left"/>
      </w:pPr>
      <w:r>
        <w:rPr>
          <w:rFonts w:ascii="Malgun Gothic" w:eastAsia="맑은 고딕" w:hAnsi="Malgun Gothic"/>
        </w:rPr>
        <w:t xml:space="preserve">②관리기관은 지원기관에 따라 총장 또는 산학협력단장으로 한다. 다만, 총장 또는 산학협력단장은 관리기관의 실정을 감안하여 연구비 및 간접연구경비의 수입·지출에 관한 사항을 위탁하여 관리하게 할 수 있다.</w:t>
      </w:r>
    </w:p>
    <w:p>
      <w:pPr>
        <w:spacing w:after="160" w:line="300"/>
        <w:jc w:val="left"/>
      </w:pPr>
      <w:r>
        <w:rPr>
          <w:rFonts w:ascii="Malgun Gothic" w:eastAsia="맑은 고딕" w:hAnsi="Malgun Gothic"/>
        </w:rPr>
        <w:t xml:space="preserve">③관리기관은 연구 활동을 위한 여건 조성과 연구비 및 간접연구경비의 관리에 필요한 행정적 조치를 취해야 한다.</w:t>
      </w:r>
    </w:p>
    <w:p>
      <w:pPr>
        <w:spacing w:after="20" w:line="300"/>
        <w:jc w:val="left"/>
      </w:pPr>
      <w:r>
        <w:rPr>
          <w:rFonts w:ascii="Malgun Gothic" w:eastAsia="맑은 고딕" w:hAnsi="Malgun Gothic"/>
          <w:b/>
          <w:bCs/>
        </w:rPr>
        <w:t xml:space="preserve">제5조(연구비의 회계)</w:t>
      </w:r>
    </w:p>
    <w:p>
      <w:pPr>
        <w:spacing w:after="20" w:line="300"/>
        <w:jc w:val="left"/>
      </w:pPr>
      <w:r>
        <w:rPr>
          <w:rFonts w:ascii="Malgun Gothic" w:eastAsia="맑은 고딕" w:hAnsi="Malgun Gothic"/>
        </w:rPr>
        <w:t xml:space="preserve">①연구비의 수입과 지출은 본 대학교 또는 본 대학교 산학협력단 회계의 세입·세출 예산에 편입한다.</w:t>
      </w:r>
    </w:p>
    <w:p>
      <w:pPr>
        <w:spacing w:after="160" w:line="300"/>
        <w:jc w:val="left"/>
      </w:pPr>
      <w:r>
        <w:rPr>
          <w:rFonts w:ascii="Malgun Gothic" w:eastAsia="맑은 고딕" w:hAnsi="Malgun Gothic"/>
        </w:rPr>
        <w:t xml:space="preserve">②관리기관에서 관리하는 연구비는 일반 계정과는 따로 금융기관의 별도계정에 예치하고, 연구비 집행계획(실행예산)에 따라 집행하며 연구비의 수입과 지출사항을 기록·관리한다.</w:t>
      </w:r>
    </w:p>
    <w:p>
      <w:pPr>
        <w:spacing w:after="120" w:line="300"/>
        <w:jc w:val="center"/>
      </w:pPr>
      <w:r>
        <w:rPr>
          <w:rFonts w:ascii="Malgun Gothic" w:eastAsia="맑은 고딕" w:hAnsi="Malgun Gothic"/>
          <w:b/>
          <w:bCs/>
          <w:sz w:val="25"/>
          <w:szCs w:val="25"/>
        </w:rPr>
        <w:t xml:space="preserve">제2장 교내 학술연구비</w:t>
      </w:r>
    </w:p>
    <w:p>
      <w:pPr>
        <w:spacing w:after="20" w:line="300"/>
        <w:jc w:val="left"/>
      </w:pPr>
      <w:r>
        <w:rPr>
          <w:rFonts w:ascii="Malgun Gothic" w:eastAsia="맑은 고딕" w:hAnsi="Malgun Gothic"/>
          <w:b/>
          <w:bCs/>
        </w:rPr>
        <w:t xml:space="preserve">제6조(신청자격)</w:t>
      </w:r>
    </w:p>
    <w:p>
      <w:pPr>
        <w:spacing w:after="20" w:line="300"/>
        <w:jc w:val="left"/>
      </w:pPr>
      <w:r>
        <w:rPr>
          <w:rFonts w:ascii="Malgun Gothic" w:eastAsia="맑은 고딕" w:hAnsi="Malgun Gothic"/>
        </w:rPr>
        <w:t xml:space="preserve">①본 대학교 정년트랙 전임교원은 교내 학술연구비(이하 “교내 연구비”라한다)지원과제를신청할수 있다. 〈개정 2016-03-01〉</w:t>
      </w:r>
    </w:p>
    <w:p>
      <w:pPr>
        <w:spacing w:after="20" w:line="300"/>
        <w:jc w:val="left"/>
      </w:pPr>
      <w:r>
        <w:rPr>
          <w:rFonts w:ascii="Malgun Gothic" w:eastAsia="맑은 고딕" w:hAnsi="Malgun Gothic"/>
        </w:rPr>
        <w:t xml:space="preserve">②연구비는 교내 학술연구비 세칙 제5조에 따라 신청할 수 있다.</w:t>
      </w:r>
    </w:p>
    <w:p>
      <w:pPr>
        <w:spacing w:after="20" w:line="300"/>
        <w:jc w:val="left"/>
      </w:pPr>
      <w:r>
        <w:rPr>
          <w:rFonts w:ascii="Malgun Gothic" w:eastAsia="맑은 고딕" w:hAnsi="Malgun Gothic"/>
        </w:rPr>
        <w:t xml:space="preserve">③연구결과물 제출기한 중 퇴직예정이 확정 된 교원은 신청할 수 없다. 단, 게재(발행)예정 연구결과물이 정보공시에 활용될 수 있을 경우와 공연,전시 과제는 신청 가능하며, 결과물 미제출시 연구비 환수에 대한 서약서를 선 제출하고 결의에 의해 진행할 수 있다〈개정 2016-03-01〉〈개정 2020-07-16〉〈개정 2023-11-27〉</w:t>
      </w:r>
    </w:p>
    <w:p>
      <w:pPr>
        <w:spacing w:after="20" w:line="300"/>
        <w:jc w:val="left"/>
      </w:pPr>
      <w:r>
        <w:rPr>
          <w:rFonts w:ascii="Malgun Gothic" w:eastAsia="맑은 고딕" w:hAnsi="Malgun Gothic"/>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300"/>
        <w:jc w:val="left"/>
      </w:pPr>
      <w:r>
        <w:rPr>
          <w:rFonts w:ascii="Malgun Gothic" w:eastAsia="맑은 고딕" w:hAnsi="Malgun Gothic"/>
        </w:rPr>
        <w:t xml:space="preserve">⑤외부기관 연구비를 지원 받고 연구결과보고서를 제출하지 않아 제재 조치를 받은 교원은 교내 연구비를 1년간 신청할 수 없다. 〈개정 2016-03-01〉</w:t>
      </w:r>
    </w:p>
    <w:p>
      <w:pPr>
        <w:spacing w:after="20" w:line="300"/>
        <w:jc w:val="left"/>
      </w:pPr>
      <w:r>
        <w:rPr>
          <w:rFonts w:ascii="Malgun Gothic" w:eastAsia="맑은 고딕" w:hAnsi="Malgun Gothic"/>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160" w:line="300"/>
        <w:jc w:val="left"/>
      </w:pPr>
      <w:r>
        <w:rPr>
          <w:rFonts w:ascii="Malgun Gothic" w:eastAsia="맑은 고딕" w:hAnsi="Malgun Gothic"/>
        </w:rPr>
        <w:t xml:space="preserve">➆연구년(안식년, 휴직 포함) 교원은 교내 공모과제를 신청할 수 없다. 단, 저역서 과제는 신청이 가능하다. 〈개정 2016-03-01〉</w:t>
      </w:r>
    </w:p>
    <w:p>
      <w:pPr>
        <w:spacing w:after="20" w:line="300"/>
        <w:jc w:val="left"/>
      </w:pPr>
      <w:r>
        <w:rPr>
          <w:rFonts w:ascii="Malgun Gothic" w:eastAsia="맑은 고딕" w:hAnsi="Malgun Gothic"/>
          <w:b/>
          <w:bCs/>
        </w:rPr>
        <w:t xml:space="preserve">제7조(연구기간 및 게재기간)</w:t>
      </w:r>
    </w:p>
    <w:p>
      <w:pPr>
        <w:spacing w:after="20" w:line="300"/>
        <w:jc w:val="left"/>
      </w:pPr>
      <w:r>
        <w:rPr>
          <w:rFonts w:ascii="Malgun Gothic" w:eastAsia="맑은 고딕" w:hAnsi="Malgun Gothic"/>
        </w:rPr>
        <w:t xml:space="preserve">➀연구기간은 매년 3월 1일부터 익년 2월 28일까지 1년간을 원칙으로 한다. (교무 99.3.18 결의)</w:t>
      </w:r>
    </w:p>
    <w:p>
      <w:pPr>
        <w:spacing w:after="160" w:line="300"/>
        <w:jc w:val="left"/>
      </w:pPr>
      <w:r>
        <w:rPr>
          <w:rFonts w:ascii="Malgun Gothic" w:eastAsia="맑은 고딕" w:hAnsi="Malgun Gothic"/>
        </w:rPr>
        <w:t xml:space="preserve">➁연구결과는 연구기간 종료 후 국내(학진후보 이상) 6개월, 국제(SCIE급 이상) 1년 이내에 게재가 완료되어야 한다. (2011년 3월 1일 이후 시작된 과제에 대하여 소급적용)</w:t>
      </w:r>
    </w:p>
    <w:p>
      <w:pPr>
        <w:spacing w:after="20" w:line="300"/>
        <w:jc w:val="left"/>
      </w:pPr>
      <w:r>
        <w:rPr>
          <w:rFonts w:ascii="Malgun Gothic" w:eastAsia="맑은 고딕" w:hAnsi="Malgun Gothic"/>
          <w:b/>
          <w:bCs/>
        </w:rPr>
        <w:t xml:space="preserve">제8조(지원분야 및 지원액)</w:t>
      </w:r>
    </w:p>
    <w:p>
      <w:pPr>
        <w:spacing w:after="160" w:line="300"/>
        <w:jc w:val="left"/>
      </w:pPr>
      <w:r>
        <w:rPr>
          <w:rFonts w:ascii="Malgun Gothic" w:eastAsia="맑은 고딕" w:hAnsi="Malgun Gothic"/>
        </w:rPr>
        <w:t xml:space="preserve">지원분야는 논문, 저서, 특허, 공연·전시·체육 등으로 하며, 지원 기준액과 평가기준 등은 교수연구위원회에서 별도로 정하되 교육부 정보공시 및 교수연구업적평가의 기준과 일관성을 갖도록 노력한다. 〈개정 2016-03-01〉</w:t>
      </w:r>
    </w:p>
    <w:p>
      <w:pPr>
        <w:spacing w:after="20" w:line="300"/>
        <w:jc w:val="left"/>
      </w:pPr>
      <w:r>
        <w:rPr>
          <w:rFonts w:ascii="Malgun Gothic" w:eastAsia="맑은 고딕" w:hAnsi="Malgun Gothic"/>
          <w:b/>
          <w:bCs/>
        </w:rPr>
        <w:t xml:space="preserve">제9조(연구비 신청)</w:t>
      </w:r>
    </w:p>
    <w:p>
      <w:pPr>
        <w:spacing w:after="160" w:line="300"/>
        <w:jc w:val="left"/>
      </w:pPr>
      <w:r>
        <w:rPr>
          <w:rFonts w:ascii="Malgun Gothic" w:eastAsia="맑은 고딕" w:hAnsi="Malgun Gothic"/>
        </w:rPr>
        <w:t xml:space="preserve">연구비를 신청하고자 하는 교원은 학술 연구비 지원신청서(별표 1)와 연구비실행예산서(별표 2)를 작성하여 정해진 기일 내에 관리기관에 제출해야 한다. 〈개정 2016-03-01〉</w:t>
      </w:r>
    </w:p>
    <w:p>
      <w:pPr>
        <w:spacing w:after="20" w:line="300"/>
        <w:jc w:val="left"/>
      </w:pPr>
      <w:r>
        <w:rPr>
          <w:rFonts w:ascii="Malgun Gothic" w:eastAsia="맑은 고딕" w:hAnsi="Malgun Gothic"/>
          <w:b/>
          <w:bCs/>
        </w:rPr>
        <w:t xml:space="preserve">제10조(연구계획의 변경)</w:t>
      </w:r>
    </w:p>
    <w:p>
      <w:pPr>
        <w:spacing w:after="20" w:line="300"/>
        <w:jc w:val="left"/>
      </w:pPr>
      <w:r>
        <w:rPr>
          <w:rFonts w:ascii="Malgun Gothic" w:eastAsia="맑은 고딕" w:hAnsi="Malgun Gothic"/>
        </w:rPr>
        <w:t xml:space="preserve">①연구자가 연구수행 중 부득이한 사유로 연구계획을 변경하고자 할 경우 “연구계획변경승인신청서”(별표 5)를 제출하여 연구처장의 승인을 받아야 한다.</w:t>
      </w:r>
    </w:p>
    <w:p>
      <w:pPr>
        <w:spacing w:after="160" w:line="300"/>
        <w:jc w:val="left"/>
      </w:pPr>
      <w:r>
        <w:rPr>
          <w:rFonts w:ascii="Malgun Gothic" w:eastAsia="맑은 고딕" w:hAnsi="Malgun Gothic"/>
        </w:rPr>
        <w:t xml:space="preserve">②연구계획변경승인신청서는 학술연구비결과보고서(별표 6) 제출기한 이전에 제출해야 한다.</w:t>
      </w:r>
    </w:p>
    <w:p>
      <w:pPr>
        <w:spacing w:after="20" w:line="300"/>
        <w:jc w:val="left"/>
      </w:pPr>
      <w:r>
        <w:rPr>
          <w:rFonts w:ascii="Malgun Gothic" w:eastAsia="맑은 고딕" w:hAnsi="Malgun Gothic"/>
          <w:b/>
          <w:bCs/>
        </w:rPr>
        <w:t xml:space="preserve">제11조(연구비관리)</w:t>
      </w:r>
    </w:p>
    <w:p>
      <w:pPr>
        <w:spacing w:after="20" w:line="300"/>
        <w:jc w:val="left"/>
      </w:pPr>
      <w:r>
        <w:rPr>
          <w:rFonts w:ascii="Malgun Gothic" w:eastAsia="맑은 고딕" w:hAnsi="Malgun Gothic"/>
        </w:rPr>
        <w:t xml:space="preserve">①선정된 연구과제에 대해 연구비 중앙관리제 원칙을 따른다. 〈개정 2016-03-01〉</w:t>
      </w:r>
    </w:p>
    <w:p>
      <w:pPr>
        <w:spacing w:after="20" w:line="300"/>
        <w:jc w:val="left"/>
      </w:pPr>
      <w:r>
        <w:rPr>
          <w:rFonts w:ascii="Malgun Gothic" w:eastAsia="맑은 고딕" w:hAnsi="Malgun Gothic"/>
        </w:rPr>
        <w:t xml:space="preserve">②연구기간 종료시점에 연구비 정산이 완료되어야 한다.(회계연도 지출결의서 접수 마감월까지) 〈개정 2023-09-04〉</w:t>
      </w:r>
    </w:p>
    <w:p>
      <w:pPr>
        <w:spacing w:after="160" w:line="300"/>
        <w:jc w:val="left"/>
      </w:pPr>
      <w:r>
        <w:rPr>
          <w:rFonts w:ascii="Malgun Gothic" w:eastAsia="맑은 고딕" w:hAnsi="Malgun Gothic"/>
        </w:rPr>
        <w:t xml:space="preserve">③연구결과물은 발행연월일 기준으로 당해 학년도 연구비를 지급한다.(3월 1일부터 익년 2월 28일까지)</w:t>
      </w:r>
    </w:p>
    <w:p>
      <w:pPr>
        <w:spacing w:after="20" w:line="300"/>
        <w:jc w:val="left"/>
      </w:pPr>
      <w:r>
        <w:rPr>
          <w:rFonts w:ascii="Malgun Gothic" w:eastAsia="맑은 고딕" w:hAnsi="Malgun Gothic"/>
          <w:b/>
          <w:bCs/>
        </w:rPr>
        <w:t xml:space="preserve">제12조(연구비의 지급중지 및 환수)</w:t>
      </w:r>
    </w:p>
    <w:p>
      <w:pPr>
        <w:spacing w:after="20" w:line="300"/>
        <w:jc w:val="left"/>
      </w:pPr>
      <w:r>
        <w:rPr>
          <w:rFonts w:ascii="Malgun Gothic" w:eastAsia="맑은 고딕" w:hAnsi="Malgun Gothic"/>
        </w:rPr>
        <w:t xml:space="preserve">연구비를 지급 받은 연구책임자가 다음 각 호에 해당될 경우 교수연구위원회의 결의를 거처 연구비의 지급을 중지하며, 이미 지급한 연구비를 6개월 내에 환수한다. 〈개정 2016-03-01〉</w:t>
      </w:r>
    </w:p>
    <w:p>
      <w:pPr>
        <w:spacing w:after="20" w:line="300"/>
        <w:jc w:val="left"/>
      </w:pPr>
      <w:r>
        <w:rPr>
          <w:rFonts w:ascii="Malgun Gothic" w:eastAsia="맑은 고딕" w:hAnsi="Malgun Gothic"/>
        </w:rPr>
        <w:t xml:space="preserve">1. 연구비를 목적 외에 사용한 경우</w:t>
      </w:r>
    </w:p>
    <w:p>
      <w:pPr>
        <w:spacing w:after="20" w:line="300"/>
        <w:jc w:val="left"/>
      </w:pPr>
      <w:r>
        <w:rPr>
          <w:rFonts w:ascii="Malgun Gothic" w:eastAsia="맑은 고딕" w:hAnsi="Malgun Gothic"/>
        </w:rPr>
        <w:t xml:space="preserve">2. 동일 연구과제에 대하여 이중으로 교내·외 연구비를 지원받은 경우</w:t>
      </w:r>
    </w:p>
    <w:p>
      <w:pPr>
        <w:spacing w:after="20" w:line="300"/>
        <w:jc w:val="left"/>
      </w:pPr>
      <w:r>
        <w:rPr>
          <w:rFonts w:ascii="Malgun Gothic" w:eastAsia="맑은 고딕" w:hAnsi="Malgun Gothic"/>
        </w:rPr>
        <w:t xml:space="preserve">3. 소정 기간 내에 연구결과보고서를 제출하지 아니한 경우</w:t>
      </w:r>
    </w:p>
    <w:p>
      <w:pPr>
        <w:spacing w:after="20" w:line="300"/>
        <w:jc w:val="left"/>
      </w:pPr>
      <w:r>
        <w:rPr>
          <w:rFonts w:ascii="Malgun Gothic" w:eastAsia="맑은 고딕" w:hAnsi="Malgun Gothic"/>
        </w:rPr>
        <w:t xml:space="preserve">4. 소정 기간 내에 적절한 연구 결과물을 제출하지 아니한 경우</w:t>
      </w:r>
    </w:p>
    <w:p>
      <w:pPr>
        <w:spacing w:after="160" w:line="300"/>
        <w:jc w:val="left"/>
      </w:pPr>
      <w:r>
        <w:rPr>
          <w:rFonts w:ascii="Malgun Gothic" w:eastAsia="맑은 고딕" w:hAnsi="Malgun Gothic"/>
        </w:rPr>
        <w:t xml:space="preserve">5. 기타 연구를 중단하여야 할 객관적인 사유가 발생한 경우</w:t>
      </w:r>
    </w:p>
    <w:p>
      <w:pPr>
        <w:spacing w:after="20" w:line="300"/>
        <w:jc w:val="left"/>
      </w:pPr>
      <w:r>
        <w:rPr>
          <w:rFonts w:ascii="Malgun Gothic" w:eastAsia="맑은 고딕" w:hAnsi="Malgun Gothic"/>
          <w:b/>
          <w:bCs/>
        </w:rPr>
        <w:t xml:space="preserve">제13조(연구결과 보고)</w:t>
      </w:r>
    </w:p>
    <w:p>
      <w:pPr>
        <w:spacing w:after="20" w:line="300"/>
        <w:jc w:val="left"/>
      </w:pPr>
      <w:r>
        <w:rPr>
          <w:rFonts w:ascii="Malgun Gothic" w:eastAsia="맑은 고딕" w:hAnsi="Malgun Gothic"/>
        </w:rPr>
        <w:t xml:space="preserve">①연구기간 종료 후 정해진 기간 내에 연구결과보고서(별표 6)와 교내학술연구비 세칙 제5조의 연구비 총액에 해당하는 연구결과물을 제출해야 한다.</w:t>
      </w:r>
    </w:p>
    <w:p>
      <w:pPr>
        <w:spacing w:after="20" w:line="300"/>
        <w:jc w:val="left"/>
      </w:pPr>
      <w:r>
        <w:rPr>
          <w:rFonts w:ascii="Malgun Gothic" w:eastAsia="맑은 고딕" w:hAnsi="Malgun Gothic"/>
        </w:rPr>
        <w:t xml:space="preserve">②연구결과물의 범위는 교내 학술연구비 세칙 제5조에 별도로 정한다.</w:t>
      </w:r>
    </w:p>
    <w:p>
      <w:pPr>
        <w:spacing w:after="20" w:line="300"/>
        <w:jc w:val="left"/>
      </w:pPr>
      <w:r>
        <w:rPr>
          <w:rFonts w:ascii="Malgun Gothic" w:eastAsia="맑은 고딕" w:hAnsi="Malgun Gothic"/>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300"/>
        <w:jc w:val="left"/>
      </w:pPr>
      <w:r>
        <w:rPr>
          <w:rFonts w:ascii="Malgun Gothic" w:eastAsia="맑은 고딕" w:hAnsi="Malgun Gothic"/>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300"/>
        <w:jc w:val="left"/>
      </w:pPr>
      <w:r>
        <w:rPr>
          <w:rFonts w:ascii="Malgun Gothic" w:eastAsia="맑은 고딕" w:hAnsi="Malgun Gothic"/>
        </w:rPr>
        <w:t xml:space="preserve">⑤교내 학술연구비 정산기준표는 아래와 같다.〈개정 2021-04-19〉</w:t>
      </w:r>
    </w:p>
    <w:p>
      <w:pPr>
        <w:spacing w:after="20" w:line="300"/>
        <w:jc w:val="left"/>
      </w:pPr>
      <w:r>
        <w:rPr>
          <w:rFonts w:ascii="Malgun Gothic" w:eastAsia="맑은 고딕" w:hAnsi="Malgun Gothic"/>
        </w:rPr>
        <w:t xml:space="preserve">관리주체</w:t>
      </w:r>
    </w:p>
    <w:p>
      <w:pPr>
        <w:spacing w:after="20" w:line="300"/>
        <w:jc w:val="left"/>
      </w:pPr>
      <w:r>
        <w:rPr>
          <w:rFonts w:ascii="Malgun Gothic" w:eastAsia="맑은 고딕" w:hAnsi="Malgun Gothic"/>
        </w:rPr>
        <w:t xml:space="preserve">비목</w:t>
      </w:r>
    </w:p>
    <w:p>
      <w:pPr>
        <w:spacing w:after="20" w:line="300"/>
        <w:jc w:val="left"/>
      </w:pPr>
      <w:r>
        <w:rPr>
          <w:rFonts w:ascii="Malgun Gothic" w:eastAsia="맑은 고딕" w:hAnsi="Malgun Gothic"/>
        </w:rPr>
        <w:t xml:space="preserve">세비목</w:t>
      </w:r>
    </w:p>
    <w:p>
      <w:pPr>
        <w:spacing w:after="20" w:line="300"/>
        <w:jc w:val="left"/>
      </w:pPr>
      <w:r>
        <w:rPr>
          <w:rFonts w:ascii="Malgun Gothic" w:eastAsia="맑은 고딕" w:hAnsi="Malgun Gothic"/>
        </w:rPr>
        <w:t xml:space="preserve">사용내용</w:t>
      </w:r>
    </w:p>
    <w:p>
      <w:pPr>
        <w:spacing w:after="20" w:line="300"/>
        <w:jc w:val="left"/>
      </w:pPr>
      <w:r>
        <w:rPr>
          <w:rFonts w:ascii="Malgun Gothic" w:eastAsia="맑은 고딕" w:hAnsi="Malgun Gothic"/>
        </w:rPr>
        <w:t xml:space="preserve">비고</w:t>
      </w:r>
    </w:p>
    <w:p>
      <w:pPr>
        <w:spacing w:after="20" w:line="300"/>
        <w:jc w:val="left"/>
      </w:pPr>
      <w:r>
        <w:rPr>
          <w:rFonts w:ascii="Malgun Gothic" w:eastAsia="맑은 고딕" w:hAnsi="Malgun Gothic"/>
        </w:rPr>
        <w:t xml:space="preserve">학교</w:t>
      </w:r>
    </w:p>
    <w:p>
      <w:pPr>
        <w:spacing w:after="20" w:line="300"/>
        <w:jc w:val="left"/>
      </w:pPr>
      <w:r>
        <w:rPr>
          <w:rFonts w:ascii="Malgun Gothic" w:eastAsia="맑은 고딕" w:hAnsi="Malgun Gothic"/>
        </w:rPr>
        <w:t xml:space="preserve">인건비</w:t>
      </w:r>
    </w:p>
    <w:p>
      <w:pPr>
        <w:spacing w:after="20" w:line="300"/>
        <w:jc w:val="left"/>
      </w:pPr>
      <w:r>
        <w:rPr>
          <w:rFonts w:ascii="Malgun Gothic" w:eastAsia="맑은 고딕" w:hAnsi="Malgun Gothic"/>
        </w:rPr>
        <w:t xml:space="preserve">내부인건비</w:t>
      </w:r>
    </w:p>
    <w:p>
      <w:pPr>
        <w:spacing w:after="20" w:line="300"/>
        <w:jc w:val="left"/>
      </w:pPr>
      <w:r>
        <w:rPr>
          <w:rFonts w:ascii="Malgun Gothic" w:eastAsia="맑은 고딕" w:hAnsi="Malgun Gothic"/>
        </w:rPr>
        <w:t xml:space="preserve">- 교내연구 불인정</w:t>
      </w:r>
    </w:p>
    <w:p>
      <w:pPr>
        <w:spacing w:after="20" w:line="300"/>
        <w:jc w:val="left"/>
      </w:pPr>
      <w:r>
        <w:rPr>
          <w:rFonts w:ascii="Malgun Gothic" w:eastAsia="맑은 고딕" w:hAnsi="Malgun Gothic"/>
        </w:rPr>
        <w:t xml:space="preserve">학생인건비</w:t>
      </w:r>
    </w:p>
    <w:p>
      <w:pPr>
        <w:spacing w:after="20" w:line="300"/>
        <w:jc w:val="left"/>
      </w:pPr>
      <w:r>
        <w:rPr>
          <w:rFonts w:ascii="Malgun Gothic" w:eastAsia="맑은 고딕" w:hAnsi="Malgun Gothic"/>
        </w:rPr>
        <w:t xml:space="preserve">본교 재학생만 가능 (단, 연구등록생은 가능)</w:t>
      </w:r>
    </w:p>
    <w:p>
      <w:pPr>
        <w:spacing w:after="20" w:line="300"/>
        <w:jc w:val="left"/>
      </w:pPr>
      <w:r>
        <w:rPr>
          <w:rFonts w:ascii="Malgun Gothic" w:eastAsia="맑은 고딕" w:hAnsi="Malgun Gothic"/>
        </w:rPr>
        <w:t xml:space="preserve">- 학사과정 : 100만원, 석사과정 180만원, 박사과정250만원 * 참여율에 따른 지급</w:t>
      </w:r>
    </w:p>
    <w:p>
      <w:pPr>
        <w:spacing w:after="20" w:line="300"/>
        <w:jc w:val="left"/>
      </w:pPr>
      <w:r>
        <w:rPr>
          <w:rFonts w:ascii="Malgun Gothic" w:eastAsia="맑은 고딕" w:hAnsi="Malgun Gothic"/>
        </w:rPr>
        <w:t xml:space="preserve">* 박사후 연구원(Post Doctor)은 불가</w:t>
      </w:r>
    </w:p>
    <w:p>
      <w:pPr>
        <w:spacing w:after="20" w:line="300"/>
        <w:jc w:val="left"/>
      </w:pPr>
      <w:r>
        <w:rPr>
          <w:rFonts w:ascii="Malgun Gothic" w:eastAsia="맑은 고딕" w:hAnsi="Malgun Gothic"/>
        </w:rPr>
        <w:t xml:space="preserve">- 계좌이체</w:t>
      </w:r>
    </w:p>
    <w:p>
      <w:pPr>
        <w:spacing w:after="20" w:line="300"/>
        <w:jc w:val="left"/>
      </w:pPr>
      <w:r>
        <w:rPr>
          <w:rFonts w:ascii="Malgun Gothic" w:eastAsia="맑은 고딕" w:hAnsi="Malgun Gothic"/>
        </w:rPr>
        <w:t xml:space="preserve">연구</w:t>
      </w:r>
    </w:p>
    <w:p>
      <w:pPr>
        <w:spacing w:after="20" w:line="300"/>
        <w:jc w:val="left"/>
      </w:pPr>
      <w:r>
        <w:rPr>
          <w:rFonts w:ascii="Malgun Gothic" w:eastAsia="맑은 고딕" w:hAnsi="Malgun Gothic"/>
        </w:rPr>
        <w:t xml:space="preserve">책임자</w:t>
      </w:r>
    </w:p>
    <w:p>
      <w:pPr>
        <w:spacing w:after="20" w:line="300"/>
        <w:jc w:val="left"/>
      </w:pPr>
      <w:r>
        <w:rPr>
          <w:rFonts w:ascii="Malgun Gothic" w:eastAsia="맑은 고딕" w:hAnsi="Malgun Gothic"/>
        </w:rPr>
        <w:t xml:space="preserve">직접비</w:t>
      </w:r>
    </w:p>
    <w:p>
      <w:pPr>
        <w:spacing w:after="20" w:line="300"/>
        <w:jc w:val="left"/>
      </w:pPr>
      <w:r>
        <w:rPr>
          <w:rFonts w:ascii="Malgun Gothic" w:eastAsia="맑은 고딕" w:hAnsi="Malgun Gothic"/>
        </w:rPr>
        <w:t xml:space="preserve">연구장비</w:t>
      </w:r>
    </w:p>
    <w:p>
      <w:pPr>
        <w:spacing w:after="20" w:line="300"/>
        <w:jc w:val="left"/>
      </w:pPr>
      <w:r>
        <w:rPr>
          <w:rFonts w:ascii="Malgun Gothic" w:eastAsia="맑은 고딕" w:hAnsi="Malgun Gothic"/>
        </w:rPr>
        <w:t xml:space="preserve">재료비</w:t>
      </w:r>
    </w:p>
    <w:p>
      <w:pPr>
        <w:spacing w:after="20" w:line="300"/>
        <w:jc w:val="left"/>
      </w:pPr>
      <w:r>
        <w:rPr>
          <w:rFonts w:ascii="Malgun Gothic" w:eastAsia="맑은 고딕" w:hAnsi="Malgun Gothic"/>
        </w:rPr>
        <w:t xml:space="preserve">연구기자재/시설비/연구환경개선비</w:t>
      </w:r>
    </w:p>
    <w:p>
      <w:pPr>
        <w:spacing w:after="20" w:line="300"/>
        <w:jc w:val="left"/>
      </w:pPr>
      <w:r>
        <w:rPr>
          <w:rFonts w:ascii="Malgun Gothic" w:eastAsia="맑은 고딕" w:hAnsi="Malgun Gothic"/>
        </w:rPr>
        <w:t xml:space="preserve">-장기간 사용할 수 있는 기기·장비와 부수기자재(해당연구수행과 관련 없는 PC 제외)</w:t>
      </w:r>
    </w:p>
    <w:p>
      <w:pPr>
        <w:spacing w:after="20" w:line="300"/>
        <w:jc w:val="left"/>
      </w:pPr>
      <w:r>
        <w:rPr>
          <w:rFonts w:ascii="Malgun Gothic" w:eastAsia="맑은 고딕" w:hAnsi="Malgun Gothic"/>
        </w:rPr>
        <w:t xml:space="preserve">- 연구시설의 설치·구입·임차에 관한 경비 및 부대경비</w:t>
      </w:r>
    </w:p>
    <w:p>
      <w:pPr>
        <w:spacing w:after="20" w:line="300"/>
        <w:jc w:val="left"/>
      </w:pPr>
      <w:r>
        <w:rPr>
          <w:rFonts w:ascii="Malgun Gothic" w:eastAsia="맑은 고딕" w:hAnsi="Malgun Gothic"/>
        </w:rPr>
        <w:t xml:space="preserve">연구환경 개선을 위한 비용(사전 신청 및 허가 필, 양식첨부)</w:t>
      </w:r>
    </w:p>
    <w:p>
      <w:pPr>
        <w:spacing w:after="20" w:line="300"/>
        <w:jc w:val="left"/>
      </w:pPr>
      <w:r>
        <w:rPr>
          <w:rFonts w:ascii="Malgun Gothic" w:eastAsia="맑은 고딕" w:hAnsi="Malgun Gothic"/>
        </w:rPr>
        <w:t xml:space="preserve">재료 및</w:t>
      </w:r>
    </w:p>
    <w:p>
      <w:pPr>
        <w:spacing w:after="20" w:line="300"/>
        <w:jc w:val="left"/>
      </w:pPr>
      <w:r>
        <w:rPr>
          <w:rFonts w:ascii="Malgun Gothic" w:eastAsia="맑은 고딕" w:hAnsi="Malgun Gothic"/>
        </w:rPr>
        <w:t xml:space="preserve">전산처리비</w:t>
      </w:r>
    </w:p>
    <w:p>
      <w:pPr>
        <w:spacing w:after="20" w:line="300"/>
        <w:jc w:val="left"/>
      </w:pPr>
      <w:r>
        <w:rPr>
          <w:rFonts w:ascii="Malgun Gothic" w:eastAsia="맑은 고딕" w:hAnsi="Malgun Gothic"/>
        </w:rPr>
        <w:t xml:space="preserve">- 시약·재료구입비 및 시험분석료</w:t>
      </w:r>
    </w:p>
    <w:p>
      <w:pPr>
        <w:spacing w:after="20" w:line="300"/>
        <w:jc w:val="left"/>
      </w:pPr>
      <w:r>
        <w:rPr>
          <w:rFonts w:ascii="Malgun Gothic" w:eastAsia="맑은 고딕" w:hAnsi="Malgun Gothic"/>
        </w:rPr>
        <w:t xml:space="preserve">- 전산처리 및 관리비</w:t>
      </w:r>
    </w:p>
    <w:p>
      <w:pPr>
        <w:spacing w:after="20" w:line="300"/>
        <w:jc w:val="left"/>
      </w:pPr>
      <w:r>
        <w:rPr>
          <w:rFonts w:ascii="Malgun Gothic" w:eastAsia="맑은 고딕" w:hAnsi="Malgun Gothic"/>
        </w:rPr>
        <w:t xml:space="preserve">시작품 제작비</w:t>
      </w:r>
    </w:p>
    <w:p>
      <w:pPr>
        <w:spacing w:after="20" w:line="300"/>
        <w:jc w:val="left"/>
      </w:pPr>
      <w:r>
        <w:rPr>
          <w:rFonts w:ascii="Malgun Gothic" w:eastAsia="맑은 고딕" w:hAnsi="Malgun Gothic"/>
        </w:rPr>
        <w:t xml:space="preserve">- 시제품·시작품·시험설비 제작경비</w:t>
      </w:r>
    </w:p>
    <w:p>
      <w:pPr>
        <w:spacing w:after="20" w:line="300"/>
        <w:jc w:val="left"/>
      </w:pPr>
      <w:r>
        <w:rPr>
          <w:rFonts w:ascii="Malgun Gothic" w:eastAsia="맑은 고딕" w:hAnsi="Malgun Gothic"/>
        </w:rPr>
        <w:t xml:space="preserve">연구활동비</w:t>
      </w:r>
    </w:p>
    <w:p>
      <w:pPr>
        <w:spacing w:after="20" w:line="300"/>
        <w:jc w:val="left"/>
      </w:pPr>
      <w:r>
        <w:rPr>
          <w:rFonts w:ascii="Malgun Gothic" w:eastAsia="맑은 고딕" w:hAnsi="Malgun Gothic"/>
        </w:rPr>
        <w:t xml:space="preserve">여비</w:t>
      </w:r>
    </w:p>
    <w:p>
      <w:pPr>
        <w:spacing w:after="20" w:line="300"/>
        <w:jc w:val="left"/>
      </w:pPr>
      <w:r>
        <w:rPr>
          <w:rFonts w:ascii="Malgun Gothic" w:eastAsia="맑은 고딕" w:hAnsi="Malgun Gothic"/>
        </w:rPr>
        <w:t xml:space="preserve">참여연구원의 국내·외 출장여비 및 시내교통비</w:t>
      </w:r>
    </w:p>
    <w:p>
      <w:pPr>
        <w:spacing w:after="20" w:line="300"/>
        <w:jc w:val="left"/>
      </w:pPr>
      <w:r>
        <w:rPr>
          <w:rFonts w:ascii="Malgun Gothic" w:eastAsia="맑은 고딕" w:hAnsi="Malgun Gothic"/>
        </w:rPr>
        <w:t xml:space="preserve">* 국외출장의 경우 공식적인 학회, 세미나 등의 참석만 가능(관련증빙자료 제출)</w:t>
      </w:r>
    </w:p>
    <w:p>
      <w:pPr>
        <w:spacing w:after="20" w:line="300"/>
        <w:jc w:val="left"/>
      </w:pPr>
      <w:r>
        <w:rPr>
          <w:rFonts w:ascii="Malgun Gothic" w:eastAsia="맑은 고딕" w:hAnsi="Malgun Gothic"/>
        </w:rPr>
        <w:t xml:space="preserve">수용비 수수료</w:t>
      </w:r>
    </w:p>
    <w:p>
      <w:pPr>
        <w:spacing w:after="20" w:line="300"/>
        <w:jc w:val="left"/>
      </w:pPr>
      <w:r>
        <w:rPr>
          <w:rFonts w:ascii="Malgun Gothic" w:eastAsia="맑은 고딕" w:hAnsi="Malgun Gothic"/>
        </w:rPr>
        <w:t xml:space="preserve">- 인쇄·복사·인화·슬라이드 제작비,</w:t>
      </w:r>
    </w:p>
    <w:p>
      <w:pPr>
        <w:spacing w:after="20" w:line="300"/>
        <w:jc w:val="left"/>
      </w:pPr>
      <w:r>
        <w:rPr>
          <w:rFonts w:ascii="Malgun Gothic" w:eastAsia="맑은 고딕" w:hAnsi="Malgun Gothic"/>
        </w:rPr>
        <w:t xml:space="preserve">- 공공요금·제세공과금 및 수수료, 사무용품비</w:t>
      </w:r>
    </w:p>
    <w:p>
      <w:pPr>
        <w:spacing w:after="20" w:line="300"/>
        <w:jc w:val="left"/>
      </w:pPr>
      <w:r>
        <w:rPr>
          <w:rFonts w:ascii="Malgun Gothic" w:eastAsia="맑은 고딕" w:hAnsi="Malgun Gothic"/>
        </w:rPr>
        <w:t xml:space="preserve">- (대학) 연구환경 유지를 위한 기기·비품의 구입, 유지비</w:t>
      </w:r>
    </w:p>
    <w:p>
      <w:pPr>
        <w:spacing w:after="20" w:line="300"/>
        <w:jc w:val="left"/>
      </w:pPr>
      <w:r>
        <w:rPr>
          <w:rFonts w:ascii="Malgun Gothic" w:eastAsia="맑은 고딕" w:hAnsi="Malgun Gothic"/>
        </w:rPr>
        <w:t xml:space="preserve">기술정보</w:t>
      </w:r>
    </w:p>
    <w:p>
      <w:pPr>
        <w:spacing w:after="20" w:line="300"/>
        <w:jc w:val="left"/>
      </w:pPr>
      <w:r>
        <w:rPr>
          <w:rFonts w:ascii="Malgun Gothic" w:eastAsia="맑은 고딕" w:hAnsi="Malgun Gothic"/>
        </w:rPr>
        <w:t xml:space="preserve">활동비</w:t>
      </w:r>
    </w:p>
    <w:p>
      <w:pPr>
        <w:spacing w:after="20" w:line="300"/>
        <w:jc w:val="left"/>
      </w:pPr>
      <w:r>
        <w:rPr>
          <w:rFonts w:ascii="Malgun Gothic" w:eastAsia="맑은 고딕" w:hAnsi="Malgun Gothic"/>
        </w:rPr>
        <w:t xml:space="preserve">- 전문가활용, 국내·외 교육훈련, 기술정보수집비, 도서 등 문헌구입비, 세미나 개최비, 학회·세미나 참가비, 원고료, 통역료, 속기료, 기술도입비, 특허정보조사비</w:t>
      </w:r>
    </w:p>
    <w:p>
      <w:pPr>
        <w:spacing w:after="20" w:line="300"/>
        <w:jc w:val="left"/>
      </w:pPr>
      <w:r>
        <w:rPr>
          <w:rFonts w:ascii="Malgun Gothic" w:eastAsia="맑은 고딕" w:hAnsi="Malgun Gothic"/>
        </w:rPr>
        <w:t xml:space="preserve">- 회의비(회의록비치/연구비의 50%이내), 당해과제수행과 관련된 식대 〈개정 2024-06-03〉</w:t>
      </w:r>
    </w:p>
    <w:p>
      <w:pPr>
        <w:spacing w:after="20" w:line="300"/>
        <w:jc w:val="left"/>
      </w:pPr>
      <w:r>
        <w:rPr>
          <w:rFonts w:ascii="Malgun Gothic" w:eastAsia="맑은 고딕" w:hAnsi="Malgun Gothic"/>
        </w:rPr>
        <w:t xml:space="preserve">- 회의비 식대의 경우 1인의 기준단가는 5만원 이하로 한다.〈개정 2025-04-07〉</w:t>
      </w:r>
    </w:p>
    <w:p>
      <w:pPr>
        <w:spacing w:after="20" w:line="300"/>
        <w:jc w:val="left"/>
      </w:pPr>
      <w:r>
        <w:rPr>
          <w:rFonts w:ascii="Malgun Gothic" w:eastAsia="맑은 고딕" w:hAnsi="Malgun Gothic"/>
        </w:rPr>
        <w:t xml:space="preserve">* 국내외전문가 활용비는 직접비의 40%를 초과할 수 없음</w:t>
      </w:r>
    </w:p>
    <w:p>
      <w:pPr>
        <w:spacing w:after="20" w:line="300"/>
        <w:jc w:val="left"/>
      </w:pPr>
      <w:r>
        <w:rPr>
          <w:rFonts w:ascii="Malgun Gothic" w:eastAsia="맑은 고딕" w:hAnsi="Malgun Gothic"/>
        </w:rPr>
        <w:t xml:space="preserve">세부과제</w:t>
      </w:r>
    </w:p>
    <w:p>
      <w:pPr>
        <w:spacing w:after="20" w:line="300"/>
        <w:jc w:val="left"/>
      </w:pPr>
      <w:r>
        <w:rPr>
          <w:rFonts w:ascii="Malgun Gothic" w:eastAsia="맑은 고딕" w:hAnsi="Malgun Gothic"/>
        </w:rPr>
        <w:t xml:space="preserve">관리비</w:t>
      </w:r>
    </w:p>
    <w:p>
      <w:pPr>
        <w:spacing w:after="20" w:line="300"/>
        <w:jc w:val="left"/>
      </w:pPr>
      <w:r>
        <w:rPr>
          <w:rFonts w:ascii="Malgun Gothic" w:eastAsia="맑은 고딕" w:hAnsi="Malgun Gothic"/>
        </w:rPr>
        <w:t xml:space="preserve">- 세부(단위)과제가 있는 경우에는 해당 과제의 조정 및 관리에 필요한 과제 관리비</w:t>
      </w:r>
    </w:p>
    <w:p>
      <w:pPr>
        <w:spacing w:after="20" w:line="300"/>
        <w:jc w:val="left"/>
      </w:pPr>
      <w:r>
        <w:rPr>
          <w:rFonts w:ascii="Malgun Gothic" w:eastAsia="맑은 고딕" w:hAnsi="Malgun Gothic"/>
        </w:rPr>
        <w:t xml:space="preserve">논문게재료</w:t>
      </w:r>
    </w:p>
    <w:p>
      <w:pPr>
        <w:spacing w:after="20" w:line="300"/>
        <w:jc w:val="left"/>
      </w:pPr>
      <w:r>
        <w:rPr>
          <w:rFonts w:ascii="Malgun Gothic" w:eastAsia="맑은 고딕" w:hAnsi="Malgun Gothic"/>
        </w:rPr>
        <w:t xml:space="preserve">- 교내공모과제의 경우 논문게재료는 반드시 교내공모 예산에서만 집행 가능(별도 지원 불가) &lt;본조 제정: 2024.06.03.&gt;</w:t>
      </w:r>
    </w:p>
    <w:p>
      <w:pPr>
        <w:spacing w:after="20" w:line="300"/>
        <w:jc w:val="left"/>
      </w:pPr>
      <w:r>
        <w:rPr>
          <w:rFonts w:ascii="Malgun Gothic" w:eastAsia="맑은 고딕" w:hAnsi="Malgun Gothic"/>
        </w:rPr>
        <w:t xml:space="preserve">연구수당</w:t>
      </w:r>
    </w:p>
    <w:p>
      <w:pPr>
        <w:spacing w:after="20" w:line="300"/>
        <w:jc w:val="left"/>
      </w:pPr>
      <w:r>
        <w:rPr>
          <w:rFonts w:ascii="Malgun Gothic" w:eastAsia="맑은 고딕" w:hAnsi="Malgun Gothic"/>
        </w:rPr>
        <w:t xml:space="preserve">보상·장려금</w:t>
      </w:r>
    </w:p>
    <w:p>
      <w:pPr>
        <w:spacing w:after="20" w:line="300"/>
        <w:jc w:val="left"/>
      </w:pPr>
      <w:r>
        <w:rPr>
          <w:rFonts w:ascii="Malgun Gothic" w:eastAsia="맑은 고딕" w:hAnsi="Malgun Gothic"/>
        </w:rPr>
        <w:t xml:space="preserve">- 당해 과제 수행과 관련된 연구책임자 및 참여연구원의 보상·장려금 지급을 위한 수당</w:t>
      </w:r>
    </w:p>
    <w:p>
      <w:pPr>
        <w:spacing w:after="20" w:line="300"/>
        <w:jc w:val="left"/>
      </w:pPr>
      <w:r>
        <w:rPr>
          <w:rFonts w:ascii="Malgun Gothic" w:eastAsia="맑은 고딕" w:hAnsi="Malgun Gothic"/>
        </w:rPr>
        <w:t xml:space="preserve">- 이 경우 계상된 연구수당 100%를 보상금·장려금으로 사용 하여야 한다. (연구책임자의 기여도 평가에 의해 차등 지급)</w:t>
      </w:r>
    </w:p>
    <w:p>
      <w:pPr>
        <w:spacing w:after="20" w:line="300"/>
        <w:jc w:val="left"/>
      </w:pPr>
      <w:r>
        <w:rPr>
          <w:rFonts w:ascii="Malgun Gothic" w:eastAsia="맑은 고딕" w:hAnsi="Malgun Gothic"/>
        </w:rPr>
        <w:t xml:space="preserve">- 연구비의 40% 이내 〈개정 2020-12-21〉</w:t>
      </w:r>
    </w:p>
    <w:p>
      <w:pPr>
        <w:spacing w:after="20" w:line="300"/>
        <w:jc w:val="left"/>
      </w:pPr>
      <w:r>
        <w:rPr>
          <w:rFonts w:ascii="Malgun Gothic" w:eastAsia="맑은 고딕" w:hAnsi="Malgun Gothic"/>
        </w:rPr>
        <w:t xml:space="preserve">위탁연구</w:t>
      </w:r>
    </w:p>
    <w:p>
      <w:pPr>
        <w:spacing w:after="20" w:line="300"/>
        <w:jc w:val="left"/>
      </w:pPr>
      <w:r>
        <w:rPr>
          <w:rFonts w:ascii="Malgun Gothic" w:eastAsia="맑은 고딕" w:hAnsi="Malgun Gothic"/>
        </w:rPr>
        <w:t xml:space="preserve">개발비</w:t>
      </w:r>
    </w:p>
    <w:p>
      <w:pPr>
        <w:spacing w:after="20" w:line="300"/>
        <w:jc w:val="left"/>
      </w:pPr>
      <w:r>
        <w:rPr>
          <w:rFonts w:ascii="Malgun Gothic" w:eastAsia="맑은 고딕" w:hAnsi="Malgun Gothic"/>
        </w:rPr>
        <w:t xml:space="preserve">위탁연구개발비</w:t>
      </w:r>
    </w:p>
    <w:p>
      <w:pPr>
        <w:spacing w:after="20" w:line="300"/>
        <w:jc w:val="left"/>
      </w:pPr>
      <w:r>
        <w:rPr>
          <w:rFonts w:ascii="Malgun Gothic" w:eastAsia="맑은 고딕" w:hAnsi="Malgun Gothic"/>
        </w:rPr>
        <w:t xml:space="preserve">- 연구개발과제의 일부를 외부기관에게 용역을 주어 위탁 수행하는데 소요되는 경비</w:t>
      </w:r>
    </w:p>
    <w:p>
      <w:pPr>
        <w:spacing w:after="20" w:line="300"/>
        <w:jc w:val="left"/>
      </w:pPr>
      <w:r>
        <w:rPr>
          <w:rFonts w:ascii="Malgun Gothic" w:eastAsia="맑은 고딕" w:hAnsi="Malgun Gothic"/>
        </w:rPr>
        <w:t xml:space="preserve">- 인건비, 직접비, 간접비로 계상</w:t>
      </w:r>
    </w:p>
    <w:p>
      <w:pPr>
        <w:spacing w:after="20" w:line="300"/>
        <w:jc w:val="left"/>
      </w:pPr>
      <w:r>
        <w:rPr>
          <w:rFonts w:ascii="Malgun Gothic" w:eastAsia="맑은 고딕" w:hAnsi="Malgun Gothic"/>
        </w:rPr>
        <w:t xml:space="preserve">- 인건비+직접비의 40% 이내</w:t>
      </w:r>
    </w:p>
    <w:p>
      <w:pPr>
        <w:spacing w:after="20" w:line="300"/>
        <w:jc w:val="left"/>
      </w:pPr>
      <w:r>
        <w:rPr>
          <w:rFonts w:ascii="Malgun Gothic" w:eastAsia="맑은 고딕" w:hAnsi="Malgun Gothic"/>
        </w:rPr>
        <w:t xml:space="preserve">- 신용카드(법인카드)와 계좌이체 방식을 원칙으로 함.</w:t>
      </w:r>
    </w:p>
    <w:p>
      <w:pPr>
        <w:spacing w:after="160" w:line="300"/>
        <w:jc w:val="left"/>
      </w:pPr>
      <w:r>
        <w:rPr>
          <w:rFonts w:ascii="Malgun Gothic" w:eastAsia="맑은 고딕" w:hAnsi="Malgun Gothic"/>
        </w:rPr>
        <w:t xml:space="preserve">- 〈삭제 2020-12-21〉</w:t>
      </w:r>
    </w:p>
    <w:p>
      <w:pPr>
        <w:spacing w:after="20" w:line="300"/>
        <w:jc w:val="left"/>
      </w:pPr>
      <w:r>
        <w:rPr>
          <w:rFonts w:ascii="Malgun Gothic" w:eastAsia="맑은 고딕" w:hAnsi="Malgun Gothic"/>
          <w:b/>
          <w:bCs/>
        </w:rPr>
        <w:t xml:space="preserve">제14조(교내 정책과제공모)</w:t>
      </w:r>
    </w:p>
    <w:p>
      <w:pPr>
        <w:spacing w:after="20" w:line="300"/>
        <w:jc w:val="left"/>
      </w:pPr>
      <w:r>
        <w:rPr>
          <w:rFonts w:ascii="Malgun Gothic" w:eastAsia="맑은 고딕" w:hAnsi="Malgun Gothic"/>
        </w:rPr>
        <w:t xml:space="preserve">①교내 정책 수립 및 특정 방향의 연구를 지정하여 지정과제로 연구 공모를 할 수 있도록 하며, 보고서 제출원칙으로 한다.(중간보고 포함)</w:t>
      </w:r>
    </w:p>
    <w:p>
      <w:pPr>
        <w:spacing w:after="20" w:line="300"/>
        <w:jc w:val="left"/>
      </w:pPr>
      <w:r>
        <w:rPr>
          <w:rFonts w:ascii="Malgun Gothic" w:eastAsia="맑은 고딕" w:hAnsi="Malgun Gothic"/>
        </w:rPr>
        <w:t xml:space="preserve">②교내 정책연구과제 공모의 연구 지원비는 1과제당 최고 1,000만원을 넘지 못하며 총 예산 3,000만 원 이하로 한다. 〈개정 2016-03-01〉</w:t>
      </w:r>
    </w:p>
    <w:p>
      <w:pPr>
        <w:spacing w:after="160" w:line="300"/>
        <w:jc w:val="left"/>
      </w:pPr>
      <w:r>
        <w:rPr>
          <w:rFonts w:ascii="Malgun Gothic" w:eastAsia="맑은 고딕" w:hAnsi="Malgun Gothic"/>
        </w:rPr>
        <w:t xml:space="preserve">③본 대학교 모든 교원은 연구 공모에 응할 수 있으며, 사업특성상 필요시 교직원이 연구원으로 참여 할 수 있다. 〈개정 2016-03-01〉</w:t>
      </w:r>
    </w:p>
    <w:p>
      <w:pPr>
        <w:spacing w:after="20" w:line="300"/>
        <w:jc w:val="left"/>
      </w:pPr>
      <w:r>
        <w:rPr>
          <w:rFonts w:ascii="Malgun Gothic" w:eastAsia="맑은 고딕" w:hAnsi="Malgun Gothic"/>
          <w:b/>
          <w:bCs/>
        </w:rPr>
        <w:t xml:space="preserve">제15조(기타)</w:t>
      </w:r>
    </w:p>
    <w:p>
      <w:pPr>
        <w:spacing w:after="160" w:line="300"/>
        <w:jc w:val="left"/>
      </w:pPr>
      <w:r>
        <w:rPr>
          <w:rFonts w:ascii="Malgun Gothic" w:eastAsia="맑은 고딕" w:hAnsi="Malgun Gothic"/>
        </w:rPr>
        <w:t xml:space="preserve">이 규정 외에 시행에 필요한 세칙은 교수연구위원회의 심의 및 총장의 승인을 받아 따로 정한다. 〈개정 2016-03-01〉</w:t>
      </w:r>
    </w:p>
    <w:p>
      <w:pPr>
        <w:spacing w:after="20" w:line="300"/>
        <w:jc w:val="left"/>
      </w:pPr>
      <w:r>
        <w:rPr>
          <w:rFonts w:ascii="Malgun Gothic" w:eastAsia="맑은 고딕" w:hAnsi="Malgun Gothic"/>
          <w:b/>
          <w:bCs/>
        </w:rPr>
        <w:t xml:space="preserve">제16조(교외연구비)</w:t>
      </w:r>
    </w:p>
    <w:p>
      <w:pPr>
        <w:spacing w:after="160" w:line="300"/>
        <w:jc w:val="left"/>
      </w:pPr>
      <w:r>
        <w:rPr>
          <w:rFonts w:ascii="Malgun Gothic" w:eastAsia="맑은 고딕" w:hAnsi="Malgun Gothic"/>
        </w:rPr>
        <w:t xml:space="preserve">교외연구비는 산학협력단 연구비 관리규정을 준용한다.〈전면개정 2019-02-25〉</w:t>
      </w:r>
    </w:p>
    <w:p>
      <w:pPr>
        <w:spacing w:after="20" w:line="300"/>
        <w:jc w:val="left"/>
      </w:pPr>
      <w:r>
        <w:rPr>
          <w:rFonts w:ascii="Malgun Gothic" w:eastAsia="맑은 고딕" w:hAnsi="Malgun Gothic"/>
          <w:b/>
          <w:bCs/>
        </w:rPr>
        <w:t xml:space="preserve">제17조(간접연구경비 관리)</w:t>
      </w:r>
    </w:p>
    <w:p>
      <w:pPr>
        <w:spacing w:after="160" w:line="300"/>
        <w:jc w:val="left"/>
      </w:pPr>
      <w:r>
        <w:rPr>
          <w:rFonts w:ascii="Malgun Gothic" w:eastAsia="맑은 고딕" w:hAnsi="Malgun Gothic"/>
        </w:rPr>
        <w:t xml:space="preserve">간접연구경비 관리는 산학협력단 연구비 관리규정을 준용한다.〈전면개정 2019-02-25〉</w:t>
      </w:r>
    </w:p>
    <w:p>
      <w:pPr>
        <w:spacing w:after="120" w:line="300"/>
        <w:jc w:val="center"/>
      </w:pPr>
      <w:r>
        <w:rPr>
          <w:rFonts w:ascii="Malgun Gothic" w:eastAsia="맑은 고딕" w:hAnsi="Malgun Gothic"/>
          <w:b/>
          <w:bCs/>
          <w:sz w:val="25"/>
          <w:szCs w:val="25"/>
        </w:rPr>
        <w:t xml:space="preserve">제3장 교수연구위원회&lt;전면개정: 2019.02.25&gt;</w:t>
      </w:r>
    </w:p>
    <w:p>
      <w:pPr>
        <w:spacing w:after="20" w:line="300"/>
        <w:jc w:val="left"/>
      </w:pPr>
      <w:r>
        <w:rPr>
          <w:rFonts w:ascii="Malgun Gothic" w:eastAsia="맑은 고딕" w:hAnsi="Malgun Gothic"/>
          <w:b/>
          <w:bCs/>
        </w:rPr>
        <w:t xml:space="preserve">제18조(위원회의 설치)</w:t>
      </w:r>
    </w:p>
    <w:p>
      <w:pPr>
        <w:spacing w:after="160" w:line="300"/>
        <w:jc w:val="left"/>
      </w:pPr>
      <w:r>
        <w:rPr>
          <w:rFonts w:ascii="Malgun Gothic" w:eastAsia="맑은 고딕" w:hAnsi="Malgun Gothic"/>
        </w:rPr>
        <w:t xml:space="preserve">연구비 관리․운영에 관한 중요 사항을 심의하기 위하여 삼육대학교 교수연구위원회를 둔다.</w:t>
      </w:r>
    </w:p>
    <w:p>
      <w:pPr>
        <w:spacing w:after="20" w:line="300"/>
        <w:jc w:val="left"/>
      </w:pPr>
      <w:r>
        <w:rPr>
          <w:rFonts w:ascii="Malgun Gothic" w:eastAsia="맑은 고딕" w:hAnsi="Malgun Gothic"/>
          <w:b/>
          <w:bCs/>
        </w:rPr>
        <w:t xml:space="preserve">제19조(위원회의 구성 및 운영)</w:t>
      </w:r>
    </w:p>
    <w:p>
      <w:pPr>
        <w:spacing w:after="160" w:line="300"/>
        <w:jc w:val="left"/>
      </w:pPr>
      <w:r>
        <w:rPr>
          <w:rFonts w:ascii="Malgun Gothic" w:eastAsia="맑은 고딕" w:hAnsi="Malgun Gothic"/>
        </w:rPr>
        <w:t xml:space="preserve">위원회의 구성 및 운영에 관한 사항은 따로 정한다.</w:t>
      </w:r>
    </w:p>
    <w:p>
      <w:pPr>
        <w:spacing w:after="120" w:line="300"/>
        <w:jc w:val="center"/>
      </w:pPr>
      <w:r>
        <w:rPr>
          <w:rFonts w:ascii="Malgun Gothic" w:eastAsia="맑은 고딕" w:hAnsi="Malgun Gothic"/>
          <w:b/>
          <w:bCs/>
          <w:sz w:val="25"/>
          <w:szCs w:val="25"/>
        </w:rPr>
        <w:t xml:space="preserve">제4장 보 칙&lt;전면개정: 2019.02.25&gt;</w:t>
      </w:r>
    </w:p>
    <w:p>
      <w:pPr>
        <w:spacing w:after="20" w:line="300"/>
        <w:jc w:val="left"/>
      </w:pPr>
      <w:r>
        <w:rPr>
          <w:rFonts w:ascii="Malgun Gothic" w:eastAsia="맑은 고딕" w:hAnsi="Malgun Gothic"/>
          <w:b/>
          <w:bCs/>
        </w:rPr>
        <w:t xml:space="preserve">제20조(이자)</w:t>
      </w:r>
    </w:p>
    <w:p>
      <w:pPr>
        <w:spacing w:after="160" w:line="300"/>
        <w:jc w:val="left"/>
      </w:pPr>
      <w:r>
        <w:rPr>
          <w:rFonts w:ascii="Malgun Gothic" w:eastAsia="맑은 고딕" w:hAnsi="Malgun Gothic"/>
        </w:rPr>
        <w:t xml:space="preserve">연구비 및 간접연구경비의 관리․운영 중에 발생한 이자는 간접연구경비 회계에 통합하여 관리한다.</w:t>
      </w:r>
    </w:p>
    <w:p>
      <w:pPr>
        <w:spacing w:after="20" w:line="300"/>
        <w:jc w:val="left"/>
      </w:pPr>
      <w:r>
        <w:rPr>
          <w:rFonts w:ascii="Malgun Gothic" w:eastAsia="맑은 고딕" w:hAnsi="Malgun Gothic"/>
          <w:b/>
          <w:bCs/>
        </w:rPr>
        <w:t xml:space="preserve">제21조(연구 기자재 구입)</w:t>
      </w:r>
    </w:p>
    <w:p>
      <w:pPr>
        <w:spacing w:after="20" w:line="300"/>
        <w:jc w:val="left"/>
      </w:pPr>
      <w:r>
        <w:rPr>
          <w:rFonts w:ascii="Malgun Gothic" w:eastAsia="맑은 고딕" w:hAnsi="Malgun Gothic"/>
        </w:rPr>
        <w:t xml:space="preserve">①연구책임자가 연구수행을 위하여 필요한 연구용 기자재를 구입하고자 하는 경우에는 연구용 기자재 구입신청서(서식 제 9호)를 관리기관에 제출해야 한다.</w:t>
      </w:r>
    </w:p>
    <w:p>
      <w:pPr>
        <w:spacing w:after="20" w:line="300"/>
        <w:jc w:val="left"/>
      </w:pPr>
      <w:r>
        <w:rPr>
          <w:rFonts w:ascii="Malgun Gothic" w:eastAsia="맑은 고딕" w:hAnsi="Malgun Gothic"/>
        </w:rPr>
        <w:t xml:space="preserve">②연구용 기자재는 본 대학교의 물품구입 규정이 정하는 바에 따라 구입하는 것을 원칙으로 한다.</w:t>
      </w:r>
    </w:p>
    <w:p>
      <w:pPr>
        <w:spacing w:after="160" w:line="300"/>
        <w:jc w:val="left"/>
      </w:pPr>
      <w:r>
        <w:rPr>
          <w:rFonts w:ascii="Malgun Gothic" w:eastAsia="맑은 고딕" w:hAnsi="Malgun Gothic"/>
        </w:rPr>
        <w:t xml:space="preserve">③연구용 기자재 대금이 소액(100만원 이하)인 경우 또는 수행 상 긴급을 요하는 경우에는 관리기관장의 승인을 득한 후 연구책임자가 직접 구입할 수 있다.</w:t>
      </w:r>
    </w:p>
    <w:p>
      <w:pPr>
        <w:spacing w:after="20" w:line="300"/>
        <w:jc w:val="left"/>
      </w:pPr>
      <w:r>
        <w:rPr>
          <w:rFonts w:ascii="Malgun Gothic" w:eastAsia="맑은 고딕" w:hAnsi="Malgun Gothic"/>
          <w:b/>
          <w:bCs/>
        </w:rPr>
        <w:t xml:space="preserve">제22조(비품의 귀속)</w:t>
      </w:r>
    </w:p>
    <w:p>
      <w:pPr>
        <w:spacing w:after="20" w:line="300"/>
        <w:jc w:val="left"/>
      </w:pPr>
      <w:r>
        <w:rPr>
          <w:rFonts w:ascii="Malgun Gothic" w:eastAsia="맑은 고딕" w:hAnsi="Malgun Gothic"/>
        </w:rPr>
        <w:t xml:space="preserve">①연구비로 구입한 연구 기자재와 비품은 연구 종료 시 본교에 귀속 조치해야 한다.</w:t>
      </w:r>
    </w:p>
    <w:p>
      <w:pPr>
        <w:spacing w:after="20" w:line="300"/>
        <w:jc w:val="left"/>
      </w:pPr>
      <w:r>
        <w:rPr>
          <w:rFonts w:ascii="Malgun Gothic" w:eastAsia="맑은 고딕" w:hAnsi="Malgun Gothic"/>
        </w:rPr>
        <w:t xml:space="preserve">②간접연구경비로 구입한 연구 기자재와 비품은 본 대학교에 귀속된다.</w:t>
      </w:r>
    </w:p>
    <w:p>
      <w:pPr>
        <w:spacing w:after="160" w:line="300"/>
        <w:jc w:val="left"/>
      </w:pPr>
      <w:r>
        <w:rPr>
          <w:rFonts w:ascii="Malgun Gothic" w:eastAsia="맑은 고딕" w:hAnsi="Malgun Gothic"/>
        </w:rPr>
        <w:t xml:space="preserve">③연구책임자는 귀속되는 비품의 목록(서식 제10호)을 작성하여 제출해야 한다.</w:t>
      </w:r>
    </w:p>
    <w:p>
      <w:pPr>
        <w:spacing w:after="20" w:line="300"/>
        <w:jc w:val="left"/>
      </w:pPr>
      <w:r>
        <w:rPr>
          <w:rFonts w:ascii="Malgun Gothic" w:eastAsia="맑은 고딕" w:hAnsi="Malgun Gothic"/>
          <w:b/>
          <w:bCs/>
        </w:rPr>
        <w:t xml:space="preserve">제23조(시행 지침)</w:t>
      </w:r>
    </w:p>
    <w:p>
      <w:pPr>
        <w:spacing w:after="160" w:line="300"/>
        <w:jc w:val="left"/>
      </w:pPr>
      <w:r>
        <w:rPr>
          <w:rFonts w:ascii="Malgun Gothic" w:eastAsia="맑은 고딕" w:hAnsi="Malgun Gothic"/>
        </w:rPr>
        <w:t xml:space="preserve">이 규정의 시행에 관하여 필요한 세부 사항은 관리기관장이 따로 정한다.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1997년 11월 1일부터 시행한다.</w:t>
      </w:r>
    </w:p>
    <w:p>
      <w:pPr>
        <w:spacing w:after="20" w:line="300"/>
        <w:jc w:val="left"/>
      </w:pPr>
      <w:r>
        <w:rPr>
          <w:rFonts w:ascii="Malgun Gothic" w:eastAsia="맑은 고딕" w:hAnsi="Malgun Gothic"/>
        </w:rPr>
        <w:t xml:space="preserve">2. 본 규정 개정 이전에 이미 확정되어 진행 중인 연구 과제는 종전의 규정에 의한다.</w:t>
      </w:r>
    </w:p>
    <w:p>
      <w:pPr>
        <w:spacing w:after="20" w:line="300"/>
        <w:jc w:val="left"/>
      </w:pPr>
      <w:r>
        <w:rPr>
          <w:rFonts w:ascii="Malgun Gothic" w:eastAsia="맑은 고딕" w:hAnsi="Malgun Gothic"/>
        </w:rPr>
        <w:t xml:space="preserve">3. 본 규정은 1999년 3월 1일부터 시행한다.</w:t>
      </w:r>
    </w:p>
    <w:p>
      <w:pPr>
        <w:spacing w:after="20" w:line="300"/>
        <w:jc w:val="left"/>
      </w:pPr>
      <w:r>
        <w:rPr>
          <w:rFonts w:ascii="Malgun Gothic" w:eastAsia="맑은 고딕" w:hAnsi="Malgun Gothic"/>
        </w:rPr>
        <w:t xml:space="preserve">4. 본 규정은 1999년 9월 17일부터 시행한다.</w:t>
      </w:r>
    </w:p>
    <w:p>
      <w:pPr>
        <w:spacing w:after="20" w:line="300"/>
        <w:jc w:val="left"/>
      </w:pPr>
      <w:r>
        <w:rPr>
          <w:rFonts w:ascii="Malgun Gothic" w:eastAsia="맑은 고딕" w:hAnsi="Malgun Gothic"/>
        </w:rPr>
        <w:t xml:space="preserve">5. 본 규정은 2001년 3월 1일부터 시행한다.</w:t>
      </w:r>
    </w:p>
    <w:p>
      <w:pPr>
        <w:spacing w:after="20" w:line="300"/>
        <w:jc w:val="left"/>
      </w:pPr>
      <w:r>
        <w:rPr>
          <w:rFonts w:ascii="Malgun Gothic" w:eastAsia="맑은 고딕" w:hAnsi="Malgun Gothic"/>
        </w:rPr>
        <w:t xml:space="preserve">6. 본 규정은 2003년 4월 9일부터 시행한다.</w:t>
      </w:r>
    </w:p>
    <w:p>
      <w:pPr>
        <w:spacing w:after="20" w:line="300"/>
        <w:jc w:val="left"/>
      </w:pPr>
      <w:r>
        <w:rPr>
          <w:rFonts w:ascii="Malgun Gothic" w:eastAsia="맑은 고딕" w:hAnsi="Malgun Gothic"/>
        </w:rPr>
        <w:t xml:space="preserve">7. 본 규정은 2003년 9월 18일부터 시행한다.</w:t>
      </w:r>
    </w:p>
    <w:p>
      <w:pPr>
        <w:spacing w:after="20" w:line="300"/>
        <w:jc w:val="left"/>
      </w:pPr>
      <w:r>
        <w:rPr>
          <w:rFonts w:ascii="Malgun Gothic" w:eastAsia="맑은 고딕" w:hAnsi="Malgun Gothic"/>
        </w:rPr>
        <w:t xml:space="preserve">8. 본 규정은 2004년 3월 1일부터 시행한다.</w:t>
      </w:r>
    </w:p>
    <w:p>
      <w:pPr>
        <w:spacing w:after="20" w:line="300"/>
        <w:jc w:val="left"/>
      </w:pPr>
      <w:r>
        <w:rPr>
          <w:rFonts w:ascii="Malgun Gothic" w:eastAsia="맑은 고딕" w:hAnsi="Malgun Gothic"/>
        </w:rPr>
        <w:t xml:space="preserve">9. 본 규정은 2006년 3월 1일부터 시행한다.</w:t>
      </w:r>
    </w:p>
    <w:p>
      <w:pPr>
        <w:spacing w:after="20" w:line="300"/>
        <w:jc w:val="left"/>
      </w:pPr>
      <w:r>
        <w:rPr>
          <w:rFonts w:ascii="Malgun Gothic" w:eastAsia="맑은 고딕" w:hAnsi="Malgun Gothic"/>
        </w:rPr>
        <w:t xml:space="preserve">10. 본 규정은 2009년 1월 1일부터 시행한다.</w:t>
      </w:r>
    </w:p>
    <w:p>
      <w:pPr>
        <w:spacing w:after="20" w:line="300"/>
        <w:jc w:val="left"/>
      </w:pPr>
      <w:r>
        <w:rPr>
          <w:rFonts w:ascii="Malgun Gothic" w:eastAsia="맑은 고딕" w:hAnsi="Malgun Gothic"/>
        </w:rPr>
        <w:t xml:space="preserve">11. 본 규정은 2009년 9월 1일부터 시행한다.</w:t>
      </w:r>
    </w:p>
    <w:p>
      <w:pPr>
        <w:spacing w:after="20" w:line="300"/>
        <w:jc w:val="left"/>
      </w:pPr>
      <w:r>
        <w:rPr>
          <w:rFonts w:ascii="Malgun Gothic" w:eastAsia="맑은 고딕" w:hAnsi="Malgun Gothic"/>
        </w:rPr>
        <w:t xml:space="preserve">12. 본 규정은 2011년 8월 1일부터 시행한다.</w:t>
      </w:r>
    </w:p>
    <w:p>
      <w:pPr>
        <w:spacing w:after="20" w:line="300"/>
        <w:jc w:val="left"/>
      </w:pPr>
      <w:r>
        <w:rPr>
          <w:rFonts w:ascii="Malgun Gothic" w:eastAsia="맑은 고딕" w:hAnsi="Malgun Gothic"/>
        </w:rPr>
        <w:t xml:space="preserve">13. 본 규정은 2012년 6월 1일부터 시행한다.</w:t>
      </w:r>
    </w:p>
    <w:p>
      <w:pPr>
        <w:spacing w:after="20" w:line="300"/>
        <w:jc w:val="left"/>
      </w:pPr>
      <w:r>
        <w:rPr>
          <w:rFonts w:ascii="Malgun Gothic" w:eastAsia="맑은 고딕" w:hAnsi="Malgun Gothic"/>
        </w:rPr>
        <w:t xml:space="preserve">14. 본 규정은 2013년 2월 25일부터 시행한다.</w:t>
      </w:r>
    </w:p>
    <w:p>
      <w:pPr>
        <w:spacing w:after="20" w:line="300"/>
        <w:jc w:val="left"/>
      </w:pPr>
      <w:r>
        <w:rPr>
          <w:rFonts w:ascii="Malgun Gothic" w:eastAsia="맑은 고딕" w:hAnsi="Malgun Gothic"/>
        </w:rPr>
        <w:t xml:space="preserve">15. 본 규정은 2013년 9월 1일부터 소급하여 시행한다.</w:t>
      </w:r>
    </w:p>
    <w:p>
      <w:pPr>
        <w:spacing w:after="20" w:line="300"/>
        <w:jc w:val="left"/>
      </w:pPr>
      <w:r>
        <w:rPr>
          <w:rFonts w:ascii="Malgun Gothic" w:eastAsia="맑은 고딕" w:hAnsi="Malgun Gothic"/>
        </w:rPr>
        <w:t xml:space="preserve">16. 본 규정은 2016년 3월 1일부터 시행한다.</w:t>
      </w:r>
    </w:p>
    <w:p>
      <w:pPr>
        <w:spacing w:after="20" w:line="300"/>
        <w:jc w:val="left"/>
      </w:pPr>
      <w:r>
        <w:rPr>
          <w:rFonts w:ascii="Malgun Gothic" w:eastAsia="맑은 고딕" w:hAnsi="Malgun Gothic"/>
        </w:rPr>
        <w:t xml:space="preserve">17. 본 전면 개정 규정은 2019년 3월 1일부터 시행한다.</w:t>
      </w:r>
    </w:p>
    <w:p>
      <w:pPr>
        <w:spacing w:after="20" w:line="300"/>
        <w:jc w:val="left"/>
      </w:pPr>
      <w:r>
        <w:rPr>
          <w:rFonts w:ascii="Malgun Gothic" w:eastAsia="맑은 고딕" w:hAnsi="Malgun Gothic"/>
        </w:rPr>
        <w:t xml:space="preserve">18. 본 규정은 2021년 1월 1일부터 시행한다.</w:t>
      </w:r>
    </w:p>
    <w:p>
      <w:pPr>
        <w:spacing w:after="20" w:line="300"/>
        <w:jc w:val="left"/>
      </w:pPr>
      <w:r>
        <w:rPr>
          <w:rFonts w:ascii="Malgun Gothic" w:eastAsia="맑은 고딕" w:hAnsi="Malgun Gothic"/>
        </w:rPr>
        <w:t xml:space="preserve">19. 본 규정은 2021년 3월 1일부터 시행한다.</w:t>
      </w:r>
    </w:p>
    <w:p>
      <w:pPr>
        <w:spacing w:after="20" w:line="300"/>
        <w:jc w:val="left"/>
      </w:pPr>
      <w:r>
        <w:rPr>
          <w:rFonts w:ascii="Malgun Gothic" w:eastAsia="맑은 고딕" w:hAnsi="Malgun Gothic"/>
        </w:rPr>
        <w:t xml:space="preserve">20. 본 규정은 2021년 9월 1일부터 시행한다.</w:t>
      </w:r>
    </w:p>
    <w:p>
      <w:pPr>
        <w:spacing w:after="20" w:line="300"/>
        <w:jc w:val="left"/>
      </w:pPr>
      <w:r>
        <w:rPr>
          <w:rFonts w:ascii="Malgun Gothic" w:eastAsia="맑은 고딕" w:hAnsi="Malgun Gothic"/>
        </w:rPr>
        <w:t xml:space="preserve">21. 본 규정은 2022년 3월 1일부터 시행한다.</w:t>
      </w:r>
    </w:p>
    <w:p>
      <w:pPr>
        <w:spacing w:after="20" w:line="300"/>
        <w:jc w:val="left"/>
      </w:pPr>
      <w:r>
        <w:rPr>
          <w:rFonts w:ascii="Malgun Gothic" w:eastAsia="맑은 고딕" w:hAnsi="Malgun Gothic"/>
        </w:rPr>
        <w:t xml:space="preserve">22. 본 규정은 2023년 9월 1일부터 시행한다.</w:t>
      </w:r>
    </w:p>
    <w:p>
      <w:pPr>
        <w:spacing w:after="20" w:line="300"/>
        <w:jc w:val="left"/>
      </w:pPr>
      <w:r>
        <w:rPr>
          <w:rFonts w:ascii="Malgun Gothic" w:eastAsia="맑은 고딕" w:hAnsi="Malgun Gothic"/>
        </w:rPr>
        <w:t xml:space="preserve">23. 본 규정은 2024년 5월 1일부터 시행한다.</w:t>
      </w:r>
    </w:p>
    <w:p>
      <w:pPr>
        <w:spacing w:after="20" w:line="300"/>
        <w:jc w:val="left"/>
      </w:pPr>
      <w:r>
        <w:rPr>
          <w:rFonts w:ascii="Malgun Gothic" w:eastAsia="맑은 고딕" w:hAnsi="Malgun Gothic"/>
        </w:rPr>
        <w:t xml:space="preserve">24. 본 규정은 2025년 3월 1일부터 시행한다.</w:t>
      </w:r>
    </w:p>
    <w:p>
      <w:pPr>
        <w:spacing w:after="80" w:line="300"/>
        <w:jc w:val="left"/>
      </w:pPr>
      <w:r>
        <w:rPr>
          <w:rFonts w:ascii="Malgun Gothic" w:eastAsia="맑은 고딕" w:hAnsi="Malgun Gothic"/>
        </w:rPr>
        <w:t xml:space="preserve">25. 본 규정은 2026년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시행 2026. 3.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dc:title>
  <dc:creator>삼육대학교 규정시스템</dc:creator>
  <cp:lastModifiedBy>Un-named</cp:lastModifiedBy>
  <cp:revision>1</cp:revision>
  <dcterms:created xsi:type="dcterms:W3CDTF">2026-10-20T22:09:12.206Z</dcterms:created>
  <dcterms:modified xsi:type="dcterms:W3CDTF">2026-10-20T22:09:12.206Z</dcterms:modified>
</cp:coreProperties>
</file>

<file path=docProps/custom.xml><?xml version="1.0" encoding="utf-8"?>
<Properties xmlns="http://schemas.openxmlformats.org/officeDocument/2006/custom-properties" xmlns:vt="http://schemas.openxmlformats.org/officeDocument/2006/docPropsVTypes"/>
</file>