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논문집투고 및 운영지침</w:t>
      </w:r>
    </w:p>
    <w:p>
      <w:pPr>
        <w:spacing w:after="20" w:line="300"/>
        <w:jc w:val="left"/>
      </w:pPr>
      <w:r>
        <w:rPr>
          <w:rFonts w:ascii="Malgun Gothic" w:eastAsia="맑은 고딕" w:hAnsi="Malgun Gothic"/>
          <w:color w:val="5B6470"/>
          <w:sz w:val="18"/>
          <w:szCs w:val="18"/>
        </w:rPr>
        <w:t xml:space="preserve">지침 · 소관 미지정 · 현행 규정</w:t>
      </w:r>
    </w:p>
    <w:p>
      <w:pPr>
        <w:spacing w:after="20" w:line="300"/>
        <w:jc w:val="left"/>
      </w:pPr>
      <w:r>
        <w:rPr>
          <w:rFonts w:ascii="Malgun Gothic" w:eastAsia="맑은 고딕" w:hAnsi="Malgun Gothic"/>
          <w:color w:val="5B6470"/>
          <w:sz w:val="18"/>
          <w:szCs w:val="18"/>
        </w:rPr>
        <w:t xml:space="preserve">제정 2006. 2. 28. · 시행 2006. 3. 1. (현행 판)</w:t>
      </w:r>
    </w:p>
    <w:p>
      <w:pPr>
        <w:spacing w:after="200" w:line="300"/>
        <w:jc w:val="left"/>
      </w:pPr>
      <w:r>
        <w:rPr>
          <w:rFonts w:ascii="Malgun Gothic" w:eastAsia="맑은 고딕" w:hAnsi="Malgun Gothic"/>
          <w:color w:val="5B6470"/>
          <w:sz w:val="16"/>
          <w:szCs w:val="16"/>
        </w:rPr>
        <w:t xml:space="preserve">공식 원본 law.syu.ac.kr · https://suleap.syu.my/r/181 · 내려받은 때 2026. 10. 22. 오후 12:14:38 · 이후 개정되었을 수 있으니 시행 여부는 사이트에서 확인하세요</w:t>
      </w:r>
    </w:p>
    <w:p>
      <w:pPr>
        <w:spacing w:after="80" w:line="300"/>
        <w:jc w:val="left"/>
      </w:pPr>
      <w:r>
        <w:rPr>
          <w:rFonts w:ascii="Malgun Gothic" w:eastAsia="맑은 고딕" w:hAnsi="Malgun Gothic"/>
        </w:rPr>
        <w:t xml:space="preserve">본 규정은 교내학술연구비 세칙 제8조 논문의 투고와 작성지침에 적용한다.</w:t>
      </w:r>
    </w:p>
    <w:p>
      <w:pPr>
        <w:spacing w:after="80" w:line="300"/>
        <w:jc w:val="left"/>
      </w:pPr>
      <w:r>
        <w:rPr>
          <w:rFonts w:ascii="Malgun Gothic" w:eastAsia="맑은 고딕" w:hAnsi="Malgun Gothic"/>
        </w:rPr>
        <w:t xml:space="preserve">1. 투고자의 자격</w:t>
      </w:r>
    </w:p>
    <w:p>
      <w:pPr>
        <w:spacing w:after="80" w:line="300"/>
        <w:jc w:val="left"/>
      </w:pPr>
      <w:r>
        <w:rPr>
          <w:rFonts w:ascii="Malgun Gothic" w:eastAsia="맑은 고딕" w:hAnsi="Malgun Gothic"/>
        </w:rPr>
        <w:t xml:space="preserve">삼육대학교 교원에 한한다. 그러나 공저자에 교원이 아닌 자가 포함될 수 있다.</w:t>
      </w:r>
    </w:p>
    <w:p>
      <w:pPr>
        <w:spacing w:after="80" w:line="300"/>
        <w:jc w:val="left"/>
      </w:pPr>
      <w:r>
        <w:rPr>
          <w:rFonts w:ascii="Malgun Gothic" w:eastAsia="맑은 고딕" w:hAnsi="Malgun Gothic"/>
        </w:rPr>
        <w:t xml:space="preserve">2. 저작권</w:t>
      </w:r>
    </w:p>
    <w:p>
      <w:pPr>
        <w:spacing w:after="80" w:line="300"/>
        <w:jc w:val="left"/>
      </w:pPr>
      <w:r>
        <w:rPr>
          <w:rFonts w:ascii="Malgun Gothic" w:eastAsia="맑은 고딕" w:hAnsi="Malgun Gothic"/>
        </w:rPr>
        <w:t xml:space="preserve">게재된 논문의 저작권은 삼육대학교에 속한다.</w:t>
      </w:r>
    </w:p>
    <w:p>
      <w:pPr>
        <w:spacing w:after="80" w:line="300"/>
        <w:jc w:val="left"/>
      </w:pPr>
      <w:r>
        <w:rPr>
          <w:rFonts w:ascii="Malgun Gothic" w:eastAsia="맑은 고딕" w:hAnsi="Malgun Gothic"/>
        </w:rPr>
        <w:t xml:space="preserve">3. 논문의 용어</w:t>
      </w:r>
    </w:p>
    <w:p>
      <w:pPr>
        <w:spacing w:after="80" w:line="300"/>
        <w:jc w:val="left"/>
      </w:pPr>
      <w:r>
        <w:rPr>
          <w:rFonts w:ascii="Malgun Gothic" w:eastAsia="맑은 고딕" w:hAnsi="Malgun Gothic"/>
        </w:rPr>
        <w:t xml:space="preserve">투고논문의 용어에 관한 세부사항은 다음과 같다.</w:t>
      </w:r>
    </w:p>
    <w:p>
      <w:pPr>
        <w:spacing w:after="80" w:line="300"/>
        <w:jc w:val="left"/>
      </w:pPr>
      <w:r>
        <w:rPr>
          <w:rFonts w:ascii="Malgun Gothic" w:eastAsia="맑은 고딕" w:hAnsi="Malgun Gothic"/>
        </w:rPr>
        <w:t xml:space="preserve">Abstract: 영문</w:t>
      </w:r>
    </w:p>
    <w:p>
      <w:pPr>
        <w:spacing w:after="80" w:line="300"/>
        <w:jc w:val="left"/>
      </w:pPr>
      <w:r>
        <w:rPr>
          <w:rFonts w:ascii="Malgun Gothic" w:eastAsia="맑은 고딕" w:hAnsi="Malgun Gothic"/>
        </w:rPr>
        <w:t xml:space="preserve">본문: 국문 또는 영문</w:t>
      </w:r>
    </w:p>
    <w:p>
      <w:pPr>
        <w:spacing w:after="80" w:line="300"/>
        <w:jc w:val="left"/>
      </w:pPr>
      <w:r>
        <w:rPr>
          <w:rFonts w:ascii="Malgun Gothic" w:eastAsia="맑은 고딕" w:hAnsi="Malgun Gothic"/>
        </w:rPr>
        <w:t xml:space="preserve">그림(Figure), 표(Table) : 국문 또는 영문</w:t>
      </w:r>
    </w:p>
    <w:p>
      <w:pPr>
        <w:spacing w:after="80" w:line="300"/>
        <w:jc w:val="left"/>
      </w:pPr>
      <w:r>
        <w:rPr>
          <w:rFonts w:ascii="Malgun Gothic" w:eastAsia="맑은 고딕" w:hAnsi="Malgun Gothic"/>
        </w:rPr>
        <w:t xml:space="preserve">참고문헌: 국문 또는 영문</w:t>
      </w:r>
    </w:p>
    <w:p>
      <w:pPr>
        <w:spacing w:after="80" w:line="300"/>
        <w:jc w:val="left"/>
      </w:pPr>
      <w:r>
        <w:rPr>
          <w:rFonts w:ascii="Malgun Gothic" w:eastAsia="맑은 고딕" w:hAnsi="Malgun Gothic"/>
        </w:rPr>
        <w:t xml:space="preserve">4. 논문의 종류 및 체제</w:t>
      </w:r>
    </w:p>
    <w:p>
      <w:pPr>
        <w:spacing w:after="80" w:line="300"/>
        <w:jc w:val="left"/>
      </w:pPr>
      <w:r>
        <w:rPr>
          <w:rFonts w:ascii="Malgun Gothic" w:eastAsia="맑은 고딕" w:hAnsi="Malgun Gothic"/>
        </w:rPr>
        <w:t xml:space="preserve">투고할 수 있는 논문은 일반논문, 단신, 속보, 총설 등이다. 투고논문의 내용은 국내외의 다른 출판물에 이미 발표되어 있거나 투고되어 있는 것이어서는 안 된다.</w:t>
      </w:r>
    </w:p>
    <w:p>
      <w:pPr>
        <w:spacing w:after="80" w:line="300"/>
        <w:jc w:val="left"/>
      </w:pPr>
      <w:r>
        <w:rPr>
          <w:rFonts w:ascii="Malgun Gothic" w:eastAsia="맑은 고딕" w:hAnsi="Malgun Gothic"/>
        </w:rPr>
        <w:t xml:space="preserve">5. 원고 송부</w:t>
      </w:r>
    </w:p>
    <w:p>
      <w:pPr>
        <w:spacing w:after="80" w:line="300"/>
        <w:jc w:val="left"/>
      </w:pPr>
      <w:r>
        <w:rPr>
          <w:rFonts w:ascii="Malgun Gothic" w:eastAsia="맑은 고딕" w:hAnsi="Malgun Gothic"/>
        </w:rPr>
        <w:t xml:space="preserve">(1) 원고는 원본 1부와 사본 2부(합3부) 및 투고카드를 작성하고 원고내용이 저장된 디스켓을 제출한다. 원고는 Computer의 Word Process(한글)를 이용하여 작성하는 것을 원칙으로 하며 A4용지를 사용하여야 한다.</w:t>
      </w:r>
    </w:p>
    <w:p>
      <w:pPr>
        <w:spacing w:after="80" w:line="300"/>
        <w:jc w:val="left"/>
      </w:pPr>
      <w:r>
        <w:rPr>
          <w:rFonts w:ascii="Malgun Gothic" w:eastAsia="맑은 고딕" w:hAnsi="Malgun Gothic"/>
        </w:rPr>
        <w:t xml:space="preserve">(2) 송부는 편집위원에게 하여야 한다.</w:t>
      </w:r>
    </w:p>
    <w:p>
      <w:pPr>
        <w:spacing w:after="80" w:line="300"/>
        <w:jc w:val="left"/>
      </w:pPr>
      <w:r>
        <w:rPr>
          <w:rFonts w:ascii="Malgun Gothic" w:eastAsia="맑은 고딕" w:hAnsi="Malgun Gothic"/>
        </w:rPr>
        <w:t xml:space="preserve">6. 원고의 채택</w:t>
      </w:r>
    </w:p>
    <w:p>
      <w:pPr>
        <w:spacing w:after="80" w:line="300"/>
        <w:jc w:val="left"/>
      </w:pPr>
      <w:r>
        <w:rPr>
          <w:rFonts w:ascii="Malgun Gothic" w:eastAsia="맑은 고딕" w:hAnsi="Malgun Gothic"/>
        </w:rPr>
        <w:t xml:space="preserve">(1) 상기 5.(1)의 송부절차를 거친 원고는 그 도착일을 접수일로 한다.</w:t>
      </w:r>
    </w:p>
    <w:p>
      <w:pPr>
        <w:spacing w:after="80" w:line="300"/>
        <w:jc w:val="left"/>
      </w:pPr>
      <w:r>
        <w:rPr>
          <w:rFonts w:ascii="Malgun Gothic" w:eastAsia="맑은 고딕" w:hAnsi="Malgun Gothic"/>
        </w:rPr>
        <w:t xml:space="preserve">(2) 원고의 채택 여부는 삼육대학교 논문집 심사규정에 의해 결정된다.</w:t>
      </w:r>
    </w:p>
    <w:p>
      <w:pPr>
        <w:spacing w:after="80" w:line="300"/>
        <w:jc w:val="left"/>
      </w:pPr>
      <w:r>
        <w:rPr>
          <w:rFonts w:ascii="Malgun Gothic" w:eastAsia="맑은 고딕" w:hAnsi="Malgun Gothic"/>
        </w:rPr>
        <w:t xml:space="preserve">7. 교정</w:t>
      </w:r>
    </w:p>
    <w:p>
      <w:pPr>
        <w:spacing w:after="80" w:line="300"/>
        <w:jc w:val="left"/>
      </w:pPr>
      <w:r>
        <w:rPr>
          <w:rFonts w:ascii="Malgun Gothic" w:eastAsia="맑은 고딕" w:hAnsi="Malgun Gothic"/>
        </w:rPr>
        <w:t xml:space="preserve">(1) 저자는 논문의 교정에 관한 모든 책임을 진다.</w:t>
      </w:r>
    </w:p>
    <w:p>
      <w:pPr>
        <w:spacing w:after="80" w:line="300"/>
        <w:jc w:val="left"/>
      </w:pPr>
      <w:r>
        <w:rPr>
          <w:rFonts w:ascii="Malgun Gothic" w:eastAsia="맑은 고딕" w:hAnsi="Malgun Gothic"/>
        </w:rPr>
        <w:t xml:space="preserve">(2) 저자는 초교(初校)에 대해 교정을 한다.</w:t>
      </w:r>
    </w:p>
    <w:p>
      <w:pPr>
        <w:spacing w:after="80" w:line="300"/>
        <w:jc w:val="left"/>
      </w:pPr>
      <w:r>
        <w:rPr>
          <w:rFonts w:ascii="Malgun Gothic" w:eastAsia="맑은 고딕" w:hAnsi="Malgun Gothic"/>
        </w:rPr>
        <w:t xml:space="preserve">(3) 원고는 개정하거나 새로운 사항을 추가하면 안 된다. 부득이 수정하거나 또는 첨가하여야 할 경우 편집위원회의 재심사를 거쳐야 한다. 이에 의해 생기는 경비증가는 투고자가 부담하여야 한다. 저자의 교정이 지정된 기일에서 늦어지는 경우는 편집위원회의 교정만으로 인쇄에 들어가거나 게재를 연기할 수 있다.</w:t>
      </w:r>
    </w:p>
    <w:p>
      <w:pPr>
        <w:spacing w:after="80" w:line="300"/>
        <w:jc w:val="left"/>
      </w:pPr>
      <w:r>
        <w:rPr>
          <w:rFonts w:ascii="Malgun Gothic" w:eastAsia="맑은 고딕" w:hAnsi="Malgun Gothic"/>
        </w:rPr>
        <w:t xml:space="preserve">8. 정오 정정</w:t>
      </w:r>
    </w:p>
    <w:p>
      <w:pPr>
        <w:spacing w:after="80" w:line="300"/>
        <w:jc w:val="left"/>
      </w:pPr>
      <w:r>
        <w:rPr>
          <w:rFonts w:ascii="Malgun Gothic" w:eastAsia="맑은 고딕" w:hAnsi="Malgun Gothic"/>
        </w:rPr>
        <w:t xml:space="preserve">(1) 논문내용에 관한 정정이 반드시 필요하다고 생각되는 경우 저자는 잡지 발생 후 1개월 이내에 정오표를 제출할 수 있다.</w:t>
      </w:r>
    </w:p>
    <w:p>
      <w:pPr>
        <w:spacing w:after="80" w:line="300"/>
        <w:jc w:val="left"/>
      </w:pPr>
      <w:r>
        <w:rPr>
          <w:rFonts w:ascii="Malgun Gothic" w:eastAsia="맑은 고딕" w:hAnsi="Malgun Gothic"/>
        </w:rPr>
        <w:t xml:space="preserve">(2) 이 정오표는 다음 호에 실려 정정된다.</w:t>
      </w:r>
    </w:p>
    <w:p>
      <w:pPr>
        <w:spacing w:after="80" w:line="300"/>
        <w:jc w:val="left"/>
      </w:pPr>
      <w:r>
        <w:rPr>
          <w:rFonts w:ascii="Malgun Gothic" w:eastAsia="맑은 고딕" w:hAnsi="Malgun Gothic"/>
        </w:rPr>
        <w:t xml:space="preserve">9. 원고료 및 도판료(추가 인쇄물)</w:t>
      </w:r>
    </w:p>
    <w:p>
      <w:pPr>
        <w:spacing w:after="80" w:line="300"/>
        <w:jc w:val="left"/>
      </w:pPr>
      <w:r>
        <w:rPr>
          <w:rFonts w:ascii="Malgun Gothic" w:eastAsia="맑은 고딕" w:hAnsi="Malgun Gothic"/>
        </w:rPr>
        <w:t xml:space="preserve">(1) 채택된 원고의 투고자에게 조판과 특별한 도표 제작(색도, 특별제작 등)에 드는 비용 등을 부담하게 할 수 있다.</w:t>
      </w:r>
    </w:p>
    <w:p>
      <w:pPr>
        <w:spacing w:after="80" w:line="300"/>
        <w:jc w:val="left"/>
      </w:pPr>
      <w:r>
        <w:rPr>
          <w:rFonts w:ascii="Malgun Gothic" w:eastAsia="맑은 고딕" w:hAnsi="Malgun Gothic"/>
        </w:rPr>
        <w:t xml:space="preserve">(2) 저자에게는 별책 10부를 송부한다. 10부 이상을 원할 때는 실비로 추가로 납부하여야 한다.</w:t>
      </w:r>
    </w:p>
    <w:p>
      <w:pPr>
        <w:spacing w:after="80" w:line="300"/>
        <w:jc w:val="left"/>
      </w:pPr>
      <w:r>
        <w:rPr>
          <w:rFonts w:ascii="Malgun Gothic" w:eastAsia="맑은 고딕" w:hAnsi="Malgun Gothic"/>
        </w:rPr>
        <w:t xml:space="preserve">10. 원고의 체제</w:t>
      </w:r>
    </w:p>
    <w:p>
      <w:pPr>
        <w:spacing w:after="80" w:line="300"/>
        <w:jc w:val="left"/>
      </w:pPr>
      <w:r>
        <w:rPr>
          <w:rFonts w:ascii="Malgun Gothic" w:eastAsia="맑은 고딕" w:hAnsi="Malgun Gothic"/>
        </w:rPr>
        <w:t xml:space="preserve">투고 원고는 편집위원회에서 정한 투고 논문 서식과 작성지침을 엄수하여 작성되어야 한다.</w:t>
      </w:r>
    </w:p>
    <w:p>
      <w:pPr>
        <w:spacing w:after="80" w:line="300"/>
        <w:jc w:val="left"/>
      </w:pPr>
      <w:r>
        <w:rPr>
          <w:rFonts w:ascii="Malgun Gothic" w:eastAsia="맑은 고딕" w:hAnsi="Malgun Gothic"/>
        </w:rPr>
        <w:t xml:space="preserve">11. 투고 논문의 서식(한글97 기준)</w:t>
      </w:r>
    </w:p>
    <w:p>
      <w:pPr>
        <w:spacing w:after="80" w:line="300"/>
        <w:jc w:val="left"/>
      </w:pPr>
      <w:r>
        <w:rPr>
          <w:rFonts w:ascii="Malgun Gothic" w:eastAsia="맑은 고딕" w:hAnsi="Malgun Gothic"/>
        </w:rPr>
        <w:t xml:space="preserve">(1) 용지설정: A4 용지(210×297mm)</w:t>
      </w:r>
    </w:p>
    <w:p>
      <w:pPr>
        <w:spacing w:after="80" w:line="300"/>
        <w:jc w:val="left"/>
      </w:pPr>
      <w:r>
        <w:rPr>
          <w:rFonts w:ascii="Malgun Gothic" w:eastAsia="맑은 고딕" w:hAnsi="Malgun Gothic"/>
        </w:rPr>
        <w:t xml:space="preserve">(2) 여백: 오른쪽(32.49), 왼쪽(32.49), 위쪽(37.49), 아래쪽(37.49), 머리말(11.99), 꼬리말(12.99)</w:t>
      </w:r>
    </w:p>
    <w:p>
      <w:pPr>
        <w:spacing w:after="80" w:line="300"/>
        <w:jc w:val="left"/>
      </w:pPr>
      <w:r>
        <w:rPr>
          <w:rFonts w:ascii="Malgun Gothic" w:eastAsia="맑은 고딕" w:hAnsi="Malgun Gothic"/>
        </w:rPr>
        <w:t xml:space="preserve">(3) 논문 제목: 신명조, 크기(18), 장평(90), 자간(-5), 진하게</w:t>
      </w:r>
    </w:p>
    <w:p>
      <w:pPr>
        <w:spacing w:after="80" w:line="300"/>
        <w:jc w:val="left"/>
      </w:pPr>
      <w:r>
        <w:rPr>
          <w:rFonts w:ascii="Malgun Gothic" w:eastAsia="맑은 고딕" w:hAnsi="Malgun Gothic"/>
        </w:rPr>
        <w:t xml:space="preserve">(4) 저자: 신명조, 크기(12), 장평(90), 자간(-5), 진하게</w:t>
      </w:r>
    </w:p>
    <w:p>
      <w:pPr>
        <w:spacing w:after="80" w:line="300"/>
        <w:jc w:val="left"/>
      </w:pPr>
      <w:r>
        <w:rPr>
          <w:rFonts w:ascii="Malgun Gothic" w:eastAsia="맑은 고딕" w:hAnsi="Malgun Gothic"/>
        </w:rPr>
        <w:t xml:space="preserve">(5) 본문: 들여쓰기(2), 줄간격(160), 신명조, 크기(11), 장평(90), 자간(-5)</w:t>
      </w:r>
    </w:p>
    <w:p>
      <w:pPr>
        <w:spacing w:after="80" w:line="300"/>
        <w:jc w:val="left"/>
      </w:pPr>
      <w:r>
        <w:rPr>
          <w:rFonts w:ascii="Malgun Gothic" w:eastAsia="맑은 고딕" w:hAnsi="Malgun Gothic"/>
        </w:rPr>
        <w:t xml:space="preserve">(6) 각주: 내어쓰기(3), 줄간격(130), 신명조, 크기(9), 장평(90), 자간(-5)</w:t>
      </w:r>
    </w:p>
    <w:p>
      <w:pPr>
        <w:spacing w:after="80" w:line="300"/>
        <w:jc w:val="left"/>
      </w:pPr>
      <w:r>
        <w:rPr>
          <w:rFonts w:ascii="Malgun Gothic" w:eastAsia="맑은 고딕" w:hAnsi="Malgun Gothic"/>
        </w:rPr>
        <w:t xml:space="preserve">(7) 표 제목: 내어쓰기(4), 줄간격(130), 신명조, 크기(11), 장평(90), 자간(-5)</w:t>
      </w:r>
    </w:p>
    <w:p>
      <w:pPr>
        <w:spacing w:after="80" w:line="300"/>
        <w:jc w:val="left"/>
      </w:pPr>
      <w:r>
        <w:rPr>
          <w:rFonts w:ascii="Malgun Gothic" w:eastAsia="맑은 고딕" w:hAnsi="Malgun Gothic"/>
        </w:rPr>
        <w:t xml:space="preserve">(8) 표 내용: 신명조, 크기(조절가능), 장평(조절가능), 자간(조절가능)</w:t>
      </w:r>
    </w:p>
    <w:p>
      <w:pPr>
        <w:spacing w:after="80" w:line="300"/>
        <w:jc w:val="left"/>
      </w:pPr>
      <w:r>
        <w:rPr>
          <w:rFonts w:ascii="Malgun Gothic" w:eastAsia="맑은 고딕" w:hAnsi="Malgun Gothic"/>
        </w:rPr>
        <w:t xml:space="preserve">(9) 표의 주: 줄간격(130), 신명조, 크기(9), 장평(90), 자간(-5)</w:t>
      </w:r>
    </w:p>
    <w:p>
      <w:pPr>
        <w:spacing w:after="80" w:line="300"/>
        <w:jc w:val="left"/>
      </w:pPr>
      <w:r>
        <w:rPr>
          <w:rFonts w:ascii="Malgun Gothic" w:eastAsia="맑은 고딕" w:hAnsi="Malgun Gothic"/>
        </w:rPr>
        <w:t xml:space="preserve">(10) 참고문헌: 내어쓰기(4), 줄간격(160), 크기(10), 장평(90), 자간(-5)</w:t>
      </w:r>
    </w:p>
    <w:p>
      <w:pPr>
        <w:spacing w:after="80" w:line="300"/>
        <w:jc w:val="left"/>
      </w:pPr>
      <w:r>
        <w:rPr>
          <w:rFonts w:ascii="Malgun Gothic" w:eastAsia="맑은 고딕" w:hAnsi="Malgun Gothic"/>
        </w:rPr>
        <w:t xml:space="preserve">12-1. 논문 작성지침(인문사회,이하 예체능포함)</w:t>
      </w:r>
    </w:p>
    <w:p>
      <w:pPr>
        <w:spacing w:after="80" w:line="300"/>
        <w:jc w:val="left"/>
      </w:pPr>
      <w:r>
        <w:rPr>
          <w:rFonts w:ascii="Malgun Gothic" w:eastAsia="맑은 고딕" w:hAnsi="Malgun Gothic"/>
        </w:rPr>
        <w:t xml:space="preserve">(1) 인문사회계의 모든 원고는 다음과 같은 순서대로 집필되어야 한다.</w:t>
      </w:r>
    </w:p>
    <w:p>
      <w:pPr>
        <w:spacing w:after="80" w:line="300"/>
        <w:jc w:val="left"/>
      </w:pPr>
      <w:r>
        <w:rPr>
          <w:rFonts w:ascii="Malgun Gothic" w:eastAsia="맑은 고딕" w:hAnsi="Malgun Gothic"/>
        </w:rPr>
        <w:t xml:space="preserve">1) 논문제목과 저자명을 국문과 영문으로 작성한다.</w:t>
      </w:r>
    </w:p>
    <w:p>
      <w:pPr>
        <w:spacing w:after="80" w:line="300"/>
        <w:jc w:val="left"/>
      </w:pPr>
      <w:r>
        <w:rPr>
          <w:rFonts w:ascii="Malgun Gothic" w:eastAsia="맑은 고딕" w:hAnsi="Malgun Gothic"/>
        </w:rPr>
        <w:t xml:space="preserve">2) 저자들의 소속이 다를 경우, 저자명의 우측 어깨에 기호 ‘*’, ‘†’, ‘#’를 사용하여 소속을 구분하고, 대표저자는 ‘*’로 표시한다.</w:t>
      </w:r>
    </w:p>
    <w:p>
      <w:pPr>
        <w:spacing w:after="80" w:line="300"/>
        <w:jc w:val="left"/>
      </w:pPr>
      <w:r>
        <w:rPr>
          <w:rFonts w:ascii="Malgun Gothic" w:eastAsia="맑은 고딕" w:hAnsi="Malgun Gothic"/>
        </w:rPr>
        <w:t xml:space="preserve">3) 각주로 저자명의 우측 어깨에 사용한 기호 ‘*’, ‘†’, ‘#’에 대한 저자의 소속과 직위를 표시한다.</w:t>
      </w:r>
    </w:p>
    <w:p>
      <w:pPr>
        <w:spacing w:after="80" w:line="300"/>
        <w:jc w:val="left"/>
      </w:pPr>
      <w:r>
        <w:rPr>
          <w:rFonts w:ascii="Malgun Gothic" w:eastAsia="맑은 고딕" w:hAnsi="Malgun Gothic"/>
        </w:rPr>
        <w:t xml:space="preserve">4) 한글 논문일 때는 영문초록(200단어 내외)과 Keywords(5개 이내), 영어 논문일 때는 한글 초록(500자 내외)과 검색어(5개 이내)를 포함시킨다.</w:t>
      </w:r>
    </w:p>
    <w:p>
      <w:pPr>
        <w:spacing w:after="80" w:line="300"/>
        <w:jc w:val="left"/>
      </w:pPr>
      <w:r>
        <w:rPr>
          <w:rFonts w:ascii="Malgun Gothic" w:eastAsia="맑은 고딕" w:hAnsi="Malgun Gothic"/>
        </w:rPr>
        <w:t xml:space="preserve">5) 본문</w:t>
      </w:r>
    </w:p>
    <w:p>
      <w:pPr>
        <w:spacing w:after="80" w:line="300"/>
        <w:jc w:val="left"/>
      </w:pPr>
      <w:r>
        <w:rPr>
          <w:rFonts w:ascii="Malgun Gothic" w:eastAsia="맑은 고딕" w:hAnsi="Malgun Gothic"/>
        </w:rPr>
        <w:t xml:space="preserve">6) 감사의 글</w:t>
      </w:r>
    </w:p>
    <w:p>
      <w:pPr>
        <w:spacing w:after="80" w:line="300"/>
        <w:jc w:val="left"/>
      </w:pPr>
      <w:r>
        <w:rPr>
          <w:rFonts w:ascii="Malgun Gothic" w:eastAsia="맑은 고딕" w:hAnsi="Malgun Gothic"/>
        </w:rPr>
        <w:t xml:space="preserve">7) 참고문헌</w:t>
      </w:r>
    </w:p>
    <w:p>
      <w:pPr>
        <w:spacing w:after="80" w:line="300"/>
        <w:jc w:val="left"/>
      </w:pPr>
      <w:r>
        <w:rPr>
          <w:rFonts w:ascii="Malgun Gothic" w:eastAsia="맑은 고딕" w:hAnsi="Malgun Gothic"/>
        </w:rPr>
        <w:t xml:space="preserve">8) 표 및 그림</w:t>
      </w:r>
    </w:p>
    <w:p>
      <w:pPr>
        <w:spacing w:after="80" w:line="300"/>
        <w:jc w:val="left"/>
      </w:pPr>
      <w:r>
        <w:rPr>
          <w:rFonts w:ascii="Malgun Gothic" w:eastAsia="맑은 고딕" w:hAnsi="Malgun Gothic"/>
        </w:rPr>
        <w:t xml:space="preserve">(2) 항목별 대소번호는 Ⅰ Ⅱ Ⅲ, A B C, 1 2 3, a b c, (a) (b) (c), ① ② ③, ⓐ ⓑ ⓒ 순으로 한다.</w:t>
      </w:r>
    </w:p>
    <w:p>
      <w:pPr>
        <w:spacing w:after="80" w:line="300"/>
        <w:jc w:val="left"/>
      </w:pPr>
      <w:r>
        <w:rPr>
          <w:rFonts w:ascii="Malgun Gothic" w:eastAsia="맑은 고딕" w:hAnsi="Malgun Gothic"/>
        </w:rPr>
        <w:t xml:space="preserve">(3) 주(註)는 내각주의 방법을 사용하고, 부가할 내용이 있을 경우만 각주를 사용한다.</w:t>
      </w:r>
    </w:p>
    <w:p>
      <w:pPr>
        <w:spacing w:after="80" w:line="300"/>
        <w:jc w:val="left"/>
      </w:pPr>
      <w:r>
        <w:rPr>
          <w:rFonts w:ascii="Malgun Gothic" w:eastAsia="맑은 고딕" w:hAnsi="Malgun Gothic"/>
        </w:rPr>
        <w:t xml:space="preserve">1) 인문학의 경우, 내각주에 인용한 쪽을 표기한다.</w:t>
      </w:r>
    </w:p>
    <w:p>
      <w:pPr>
        <w:spacing w:after="80" w:line="300"/>
        <w:jc w:val="left"/>
      </w:pPr>
      <w:r>
        <w:rPr>
          <w:rFonts w:ascii="Malgun Gothic" w:eastAsia="맑은 고딕" w:hAnsi="Malgun Gothic"/>
        </w:rPr>
        <w:t xml:space="preserve">예: (홍길동, 1997: 112-114), (Bowen, 1985: 15)</w:t>
      </w:r>
    </w:p>
    <w:p>
      <w:pPr>
        <w:spacing w:after="80" w:line="300"/>
        <w:jc w:val="left"/>
      </w:pPr>
      <w:r>
        <w:rPr>
          <w:rFonts w:ascii="Malgun Gothic" w:eastAsia="맑은 고딕" w:hAnsi="Malgun Gothic"/>
        </w:rPr>
        <w:t xml:space="preserve">2) 사회과학의 경우, 내각주에 인용한 쪽을 반드시 표기할 필요는 없다.</w:t>
      </w:r>
    </w:p>
    <w:p>
      <w:pPr>
        <w:spacing w:after="80" w:line="300"/>
        <w:jc w:val="left"/>
      </w:pPr>
      <w:r>
        <w:rPr>
          <w:rFonts w:ascii="Malgun Gothic" w:eastAsia="맑은 고딕" w:hAnsi="Malgun Gothic"/>
        </w:rPr>
        <w:t xml:space="preserve">예: (홍길동, 1997); (Bowen, 1985)</w:t>
      </w:r>
    </w:p>
    <w:p>
      <w:pPr>
        <w:spacing w:after="80" w:line="300"/>
        <w:jc w:val="left"/>
      </w:pPr>
      <w:r>
        <w:rPr>
          <w:rFonts w:ascii="Malgun Gothic" w:eastAsia="맑은 고딕" w:hAnsi="Malgun Gothic"/>
        </w:rPr>
        <w:t xml:space="preserve">3) 저자가 4인 이상인 경우에는 동양인의 경우 “(○○○ 외, 2000)”으로 하고, 서양인의 경우 “(××× et al., 2000)”으로 한다.</w:t>
      </w:r>
    </w:p>
    <w:p>
      <w:pPr>
        <w:spacing w:after="80" w:line="300"/>
        <w:jc w:val="left"/>
      </w:pPr>
      <w:r>
        <w:rPr>
          <w:rFonts w:ascii="Malgun Gothic" w:eastAsia="맑은 고딕" w:hAnsi="Malgun Gothic"/>
        </w:rPr>
        <w:t xml:space="preserve">(4) 표와 그림은 표 1. 혹은 표 1-1., 그림 1., 그림 1-1.로 표시한다. 다른 자료에서 인용한 경우에는, “자료:”라고 쓴 다음 출처를 밝히며, 그 형식은 참고문헌을 따른다.</w:t>
      </w:r>
    </w:p>
    <w:p>
      <w:pPr>
        <w:spacing w:after="80" w:line="300"/>
        <w:jc w:val="left"/>
      </w:pPr>
      <w:r>
        <w:rPr>
          <w:rFonts w:ascii="Malgun Gothic" w:eastAsia="맑은 고딕" w:hAnsi="Malgun Gothic"/>
        </w:rPr>
        <w:t xml:space="preserve">(5) 사회과학의 경우, 통계 용어의 약자와 표 작성은 APA(미국심리학회) 규정을 따른다.</w:t>
      </w:r>
    </w:p>
    <w:p>
      <w:pPr>
        <w:spacing w:after="80" w:line="300"/>
        <w:jc w:val="left"/>
      </w:pPr>
      <w:r>
        <w:rPr>
          <w:rFonts w:ascii="Malgun Gothic" w:eastAsia="맑은 고딕" w:hAnsi="Malgun Gothic"/>
        </w:rPr>
        <w:t xml:space="preserve">(6) 참고문헌에는 본문이나 내각주에 나타난 모든 문헌을 기록한다.</w:t>
      </w:r>
    </w:p>
    <w:p>
      <w:pPr>
        <w:spacing w:after="80" w:line="300"/>
        <w:jc w:val="left"/>
      </w:pPr>
      <w:r>
        <w:rPr>
          <w:rFonts w:ascii="Malgun Gothic" w:eastAsia="맑은 고딕" w:hAnsi="Malgun Gothic"/>
        </w:rPr>
        <w:t xml:space="preserve">1) 참고문헌은 국문, 중국어, 일본어 등 동양(한자 사용권) 문헌부터 가나다순으로 제시하고, 그 다음에 영문 등 알파벳으로 표시된 저자의 문헌을 제시한다.</w:t>
      </w:r>
    </w:p>
    <w:p>
      <w:pPr>
        <w:spacing w:after="80" w:line="300"/>
        <w:jc w:val="left"/>
      </w:pPr>
      <w:r>
        <w:rPr>
          <w:rFonts w:ascii="Malgun Gothic" w:eastAsia="맑은 고딕" w:hAnsi="Malgun Gothic"/>
        </w:rPr>
        <w:t xml:space="preserve">2) 동일한 저자의 저서가 여러 개 있는 경우는 출판 연도순으로 기록하고, 같은 해에 쓰여진 것은 본문에 인용된 순서에 따라 출판된 연도 위에 (a) (b) (c)를 첨가하며(예: 1990(a), 1990(b)), 이 때 맨 앞의 저자 이름은 반복을 피하고 밑줄( )로 대체한다.</w:t>
      </w:r>
    </w:p>
    <w:p>
      <w:pPr>
        <w:spacing w:after="80" w:line="300"/>
        <w:jc w:val="left"/>
      </w:pPr>
      <w:r>
        <w:rPr>
          <w:rFonts w:ascii="Malgun Gothic" w:eastAsia="맑은 고딕" w:hAnsi="Malgun Gothic"/>
        </w:rPr>
        <w:t xml:space="preserve">3) 영문, 국문, 한자 문헌의 논문은 따옴표(“ ”)없이 신명조체로 표기하고. 저서는 중고딕체로 하는데 영문일 경우에는 신명조 이탤릭체로 한다. 참고문헌의 제시 방법은 다음과 같다:</w:t>
      </w:r>
    </w:p>
    <w:p>
      <w:pPr>
        <w:spacing w:after="80" w:line="300"/>
        <w:jc w:val="left"/>
      </w:pPr>
      <w:r>
        <w:rPr>
          <w:rFonts w:ascii="Malgun Gothic" w:eastAsia="맑은 고딕" w:hAnsi="Malgun Gothic"/>
        </w:rPr>
        <w:t xml:space="preserve">【단행본】</w:t>
      </w:r>
    </w:p>
    <w:p>
      <w:pPr>
        <w:spacing w:after="80" w:line="300"/>
        <w:jc w:val="left"/>
      </w:pPr>
      <w:r>
        <w:rPr>
          <w:rFonts w:ascii="Malgun Gothic" w:eastAsia="맑은 고딕" w:hAnsi="Malgun Gothic"/>
        </w:rPr>
        <w:t xml:space="preserve">김규수. 정신보건사회사업실천론. 형설출판사, 1999.</w:t>
      </w:r>
    </w:p>
    <w:p>
      <w:pPr>
        <w:spacing w:after="80" w:line="300"/>
        <w:jc w:val="left"/>
      </w:pPr>
      <w:r>
        <w:rPr>
          <w:rFonts w:ascii="Malgun Gothic" w:eastAsia="맑은 고딕" w:hAnsi="Malgun Gothic"/>
        </w:rPr>
        <w:t xml:space="preserve">Kerlinger, I. N. Behavioral Research. New York: Holt, Reinhart and Winston, 1995.</w:t>
      </w:r>
    </w:p>
    <w:p>
      <w:pPr>
        <w:spacing w:after="80" w:line="300"/>
        <w:jc w:val="left"/>
      </w:pPr>
      <w:r>
        <w:rPr>
          <w:rFonts w:ascii="Malgun Gothic" w:eastAsia="맑은 고딕" w:hAnsi="Malgun Gothic"/>
        </w:rPr>
        <w:t xml:space="preserve">【논문】</w:t>
      </w:r>
    </w:p>
    <w:p>
      <w:pPr>
        <w:spacing w:after="80" w:line="300"/>
        <w:jc w:val="left"/>
      </w:pPr>
      <w:r>
        <w:rPr>
          <w:rFonts w:ascii="Malgun Gothic" w:eastAsia="맑은 고딕" w:hAnsi="Malgun Gothic"/>
        </w:rPr>
        <w:t xml:space="preserve">홍길동. “여성문제”. 사회복지학회지. 제7호. 1990, pp. 147-165.</w:t>
      </w:r>
    </w:p>
    <w:p>
      <w:pPr>
        <w:spacing w:after="80" w:line="300"/>
        <w:jc w:val="left"/>
      </w:pPr>
      <w:r>
        <w:rPr>
          <w:rFonts w:ascii="Malgun Gothic" w:eastAsia="맑은 고딕" w:hAnsi="Malgun Gothic"/>
        </w:rPr>
        <w:t xml:space="preserve">Cermak, T. L. &amp; Bowen, S. “International Group Therapy with the Adult-Children of Alcoholic.” International Journal of Group Psychotherapy, 32(1), 1989, pp. 51-57.</w:t>
      </w:r>
    </w:p>
    <w:p>
      <w:pPr>
        <w:spacing w:after="80" w:line="300"/>
        <w:jc w:val="left"/>
      </w:pPr>
      <w:r>
        <w:rPr>
          <w:rFonts w:ascii="Malgun Gothic" w:eastAsia="맑은 고딕" w:hAnsi="Malgun Gothic"/>
        </w:rPr>
        <w:t xml:space="preserve">【편집한 책】</w:t>
      </w:r>
    </w:p>
    <w:p>
      <w:pPr>
        <w:spacing w:after="80" w:line="300"/>
        <w:jc w:val="left"/>
      </w:pPr>
      <w:r>
        <w:rPr>
          <w:rFonts w:ascii="Malgun Gothic" w:eastAsia="맑은 고딕" w:hAnsi="Malgun Gothic"/>
        </w:rPr>
        <w:t xml:space="preserve">홍길동 편. 현재사회문제론. 서울: 한국연구소, 1990.</w:t>
      </w:r>
    </w:p>
    <w:p>
      <w:pPr>
        <w:spacing w:after="80" w:line="300"/>
        <w:jc w:val="left"/>
      </w:pPr>
      <w:r>
        <w:rPr>
          <w:rFonts w:ascii="Malgun Gothic" w:eastAsia="맑은 고딕" w:hAnsi="Malgun Gothic"/>
        </w:rPr>
        <w:t xml:space="preserve">Thomas, J. Ed. Social Workers. New York: The Free Press, 1997.</w:t>
      </w:r>
    </w:p>
    <w:p>
      <w:pPr>
        <w:spacing w:after="80" w:line="300"/>
        <w:jc w:val="left"/>
      </w:pPr>
      <w:r>
        <w:rPr>
          <w:rFonts w:ascii="Malgun Gothic" w:eastAsia="맑은 고딕" w:hAnsi="Malgun Gothic"/>
        </w:rPr>
        <w:t xml:space="preserve">【번역한 책】</w:t>
      </w:r>
    </w:p>
    <w:p>
      <w:pPr>
        <w:spacing w:after="80" w:line="300"/>
        <w:jc w:val="left"/>
      </w:pPr>
      <w:r>
        <w:rPr>
          <w:rFonts w:ascii="Malgun Gothic" w:eastAsia="맑은 고딕" w:hAnsi="Malgun Gothic"/>
        </w:rPr>
        <w:t xml:space="preserve">Schuerman, R. 사회복지평가론. 장인협 외 3인 역. 서울: 집문당, 1986.</w:t>
      </w:r>
    </w:p>
    <w:p>
      <w:pPr>
        <w:spacing w:after="80" w:line="300"/>
        <w:jc w:val="left"/>
      </w:pPr>
      <w:r>
        <w:rPr>
          <w:rFonts w:ascii="Malgun Gothic" w:eastAsia="맑은 고딕" w:hAnsi="Malgun Gothic"/>
        </w:rPr>
        <w:t xml:space="preserve">【학위논문】</w:t>
      </w:r>
    </w:p>
    <w:p>
      <w:pPr>
        <w:spacing w:after="80" w:line="300"/>
        <w:jc w:val="left"/>
      </w:pPr>
      <w:r>
        <w:rPr>
          <w:rFonts w:ascii="Malgun Gothic" w:eastAsia="맑은 고딕" w:hAnsi="Malgun Gothic"/>
        </w:rPr>
        <w:t xml:space="preserve">홍길동. 직무성과 결정요인. 박사학위논문. 한국대학교, 1997.</w:t>
      </w:r>
    </w:p>
    <w:p>
      <w:pPr>
        <w:spacing w:after="80" w:line="300"/>
        <w:jc w:val="left"/>
      </w:pPr>
      <w:r>
        <w:rPr>
          <w:rFonts w:ascii="Malgun Gothic" w:eastAsia="맑은 고딕" w:hAnsi="Malgun Gothic"/>
        </w:rPr>
        <w:t xml:space="preserve">Yoo, H. Y. “Social Worker's Burnout.” Ph. D. Dissertation. Cornell University, 1995.</w:t>
      </w:r>
    </w:p>
    <w:p>
      <w:pPr>
        <w:spacing w:after="80" w:line="300"/>
        <w:jc w:val="left"/>
      </w:pPr>
      <w:r>
        <w:rPr>
          <w:rFonts w:ascii="Malgun Gothic" w:eastAsia="맑은 고딕" w:hAnsi="Malgun Gothic"/>
        </w:rPr>
        <w:t xml:space="preserve">【신문기사】</w:t>
      </w:r>
    </w:p>
    <w:p>
      <w:pPr>
        <w:spacing w:after="80" w:line="300"/>
        <w:jc w:val="left"/>
      </w:pPr>
      <w:r>
        <w:rPr>
          <w:rFonts w:ascii="Malgun Gothic" w:eastAsia="맑은 고딕" w:hAnsi="Malgun Gothic"/>
        </w:rPr>
        <w:t xml:space="preserve">“노인부부 85%이상 만족”. 신라일보. 1995년 9월 23일. p. 11.</w:t>
      </w:r>
    </w:p>
    <w:p>
      <w:pPr>
        <w:spacing w:after="80" w:line="300"/>
        <w:jc w:val="left"/>
      </w:pPr>
      <w:r>
        <w:rPr>
          <w:rFonts w:ascii="Malgun Gothic" w:eastAsia="맑은 고딕" w:hAnsi="Malgun Gothic"/>
        </w:rPr>
        <w:t xml:space="preserve">“Advice to Overweight." The New York Times. June 12, 1990. p. 57.</w:t>
      </w:r>
    </w:p>
    <w:p>
      <w:pPr>
        <w:spacing w:after="80" w:line="300"/>
        <w:jc w:val="left"/>
      </w:pPr>
      <w:r>
        <w:rPr>
          <w:rFonts w:ascii="Malgun Gothic" w:eastAsia="맑은 고딕" w:hAnsi="Malgun Gothic"/>
        </w:rPr>
        <w:t xml:space="preserve">12-2. 논문 작성지침(이공)</w:t>
      </w:r>
    </w:p>
    <w:p>
      <w:pPr>
        <w:spacing w:after="80" w:line="300"/>
        <w:jc w:val="left"/>
      </w:pPr>
      <w:r>
        <w:rPr>
          <w:rFonts w:ascii="Malgun Gothic" w:eastAsia="맑은 고딕" w:hAnsi="Malgun Gothic"/>
        </w:rPr>
        <w:t xml:space="preserve">(1) 이공계의 모든 원고는 다음과 같은 순서대로 집필되어야 한다.</w:t>
      </w:r>
    </w:p>
    <w:p>
      <w:pPr>
        <w:spacing w:after="80" w:line="300"/>
        <w:jc w:val="left"/>
      </w:pPr>
      <w:r>
        <w:rPr>
          <w:rFonts w:ascii="Malgun Gothic" w:eastAsia="맑은 고딕" w:hAnsi="Malgun Gothic"/>
        </w:rPr>
        <w:t xml:space="preserve">1) 논문제목과 저자명을 국문과 영문으로 작성한다.</w:t>
      </w:r>
    </w:p>
    <w:p>
      <w:pPr>
        <w:spacing w:after="80" w:line="300"/>
        <w:jc w:val="left"/>
      </w:pPr>
      <w:r>
        <w:rPr>
          <w:rFonts w:ascii="Malgun Gothic" w:eastAsia="맑은 고딕" w:hAnsi="Malgun Gothic"/>
        </w:rPr>
        <w:t xml:space="preserve">2) 저자들의 소속이 다를 경우, 저자명의 우측 어깨에 기호 ‘*’, ‘†’, ‘#’를 사용하여 소속을 구분하고, 대표저자는 ‘*’로 표시한다.</w:t>
      </w:r>
    </w:p>
    <w:p>
      <w:pPr>
        <w:spacing w:after="80" w:line="300"/>
        <w:jc w:val="left"/>
      </w:pPr>
      <w:r>
        <w:rPr>
          <w:rFonts w:ascii="Malgun Gothic" w:eastAsia="맑은 고딕" w:hAnsi="Malgun Gothic"/>
        </w:rPr>
        <w:t xml:space="preserve">3) 각주로 저자명의 우측 어깨에 사용한 기호 ‘*’, ‘†’, ‘#’에 대한 저자의 소속과 직위를 표시한다.</w:t>
      </w:r>
    </w:p>
    <w:p>
      <w:pPr>
        <w:spacing w:after="80" w:line="300"/>
        <w:jc w:val="left"/>
      </w:pPr>
      <w:r>
        <w:rPr>
          <w:rFonts w:ascii="Malgun Gothic" w:eastAsia="맑은 고딕" w:hAnsi="Malgun Gothic"/>
        </w:rPr>
        <w:t xml:space="preserve">4) 한글 논문일 때는 영문초록(200단어 내외)과 Keywords(5개 이내), 영어 논문일 때는 한글 초록(500자 내외)과 검색어(5개 이내)를 포함시킨다.</w:t>
      </w:r>
    </w:p>
    <w:p>
      <w:pPr>
        <w:spacing w:after="80" w:line="300"/>
        <w:jc w:val="left"/>
      </w:pPr>
      <w:r>
        <w:rPr>
          <w:rFonts w:ascii="Malgun Gothic" w:eastAsia="맑은 고딕" w:hAnsi="Malgun Gothic"/>
        </w:rPr>
        <w:t xml:space="preserve">5) 본문</w:t>
      </w:r>
    </w:p>
    <w:p>
      <w:pPr>
        <w:spacing w:after="80" w:line="300"/>
        <w:jc w:val="left"/>
      </w:pPr>
      <w:r>
        <w:rPr>
          <w:rFonts w:ascii="Malgun Gothic" w:eastAsia="맑은 고딕" w:hAnsi="Malgun Gothic"/>
        </w:rPr>
        <w:t xml:space="preserve">Ⅰ서론</w:t>
      </w:r>
    </w:p>
    <w:p>
      <w:pPr>
        <w:spacing w:after="80" w:line="300"/>
        <w:jc w:val="left"/>
      </w:pPr>
      <w:r>
        <w:rPr>
          <w:rFonts w:ascii="Malgun Gothic" w:eastAsia="맑은 고딕" w:hAnsi="Malgun Gothic"/>
        </w:rPr>
        <w:t xml:space="preserve">Ⅱ실험</w:t>
      </w:r>
    </w:p>
    <w:p>
      <w:pPr>
        <w:spacing w:after="80" w:line="300"/>
        <w:jc w:val="left"/>
      </w:pPr>
      <w:r>
        <w:rPr>
          <w:rFonts w:ascii="Malgun Gothic" w:eastAsia="맑은 고딕" w:hAnsi="Malgun Gothic"/>
        </w:rPr>
        <w:t xml:space="preserve">Ⅲ결과 및 고찰</w:t>
      </w:r>
    </w:p>
    <w:p>
      <w:pPr>
        <w:spacing w:after="80" w:line="300"/>
        <w:jc w:val="left"/>
      </w:pPr>
      <w:r>
        <w:rPr>
          <w:rFonts w:ascii="Malgun Gothic" w:eastAsia="맑은 고딕" w:hAnsi="Malgun Gothic"/>
        </w:rPr>
        <w:t xml:space="preserve">Ⅳ결론</w:t>
      </w:r>
    </w:p>
    <w:p>
      <w:pPr>
        <w:spacing w:after="80" w:line="300"/>
        <w:jc w:val="left"/>
      </w:pPr>
      <w:r>
        <w:rPr>
          <w:rFonts w:ascii="Malgun Gothic" w:eastAsia="맑은 고딕" w:hAnsi="Malgun Gothic"/>
        </w:rPr>
        <w:t xml:space="preserve">6) 감사의 글</w:t>
      </w:r>
    </w:p>
    <w:p>
      <w:pPr>
        <w:spacing w:after="80" w:line="300"/>
        <w:jc w:val="left"/>
      </w:pPr>
      <w:r>
        <w:rPr>
          <w:rFonts w:ascii="Malgun Gothic" w:eastAsia="맑은 고딕" w:hAnsi="Malgun Gothic"/>
        </w:rPr>
        <w:t xml:space="preserve">7) 참고문헌</w:t>
      </w:r>
    </w:p>
    <w:p>
      <w:pPr>
        <w:spacing w:after="80" w:line="300"/>
        <w:jc w:val="left"/>
      </w:pPr>
      <w:r>
        <w:rPr>
          <w:rFonts w:ascii="Malgun Gothic" w:eastAsia="맑은 고딕" w:hAnsi="Malgun Gothic"/>
        </w:rPr>
        <w:t xml:space="preserve">8) 표 및 그림</w:t>
      </w:r>
    </w:p>
    <w:p>
      <w:pPr>
        <w:spacing w:after="80" w:line="300"/>
        <w:jc w:val="left"/>
      </w:pPr>
      <w:r>
        <w:rPr>
          <w:rFonts w:ascii="Malgun Gothic" w:eastAsia="맑은 고딕" w:hAnsi="Malgun Gothic"/>
        </w:rPr>
        <w:t xml:space="preserve">(2) 항목별 대소번호는 Ⅰ Ⅱ Ⅲ, A B C, 1 2 3, a b c, (a) (b) (c), ① ② ③, ⓐ ⓑ ⓒ 순으로 한다.</w:t>
      </w:r>
    </w:p>
    <w:p>
      <w:pPr>
        <w:spacing w:after="80" w:line="300"/>
        <w:jc w:val="left"/>
      </w:pPr>
      <w:r>
        <w:rPr>
          <w:rFonts w:ascii="Malgun Gothic" w:eastAsia="맑은 고딕" w:hAnsi="Malgun Gothic"/>
        </w:rPr>
        <w:t xml:space="preserve">(3) 논문의 사용언어가 국문일 경우 한글 표기가 가능한 학술어는 한글로 표기하고, 한글 표기시 오해의 소지가 있는 학술어는 한글(영문) 혹은 영문으로 표기한다. 그러나 고유명사는 원어를 사용하여야 한다.</w:t>
      </w:r>
    </w:p>
    <w:p>
      <w:pPr>
        <w:spacing w:after="80" w:line="300"/>
        <w:jc w:val="left"/>
      </w:pPr>
      <w:r>
        <w:rPr>
          <w:rFonts w:ascii="Malgun Gothic" w:eastAsia="맑은 고딕" w:hAnsi="Malgun Gothic"/>
        </w:rPr>
        <w:t xml:space="preserve">(4) 본문, 그림 및 표에 사용된 약어나 시료기호 등은 그것이 처음 사용된 곳에 정의하고, 그 후 에는 그 약어나 시료기호를 그대로 사용한다[(예: Natural Rubber(NR)].</w:t>
      </w:r>
    </w:p>
    <w:p>
      <w:pPr>
        <w:spacing w:after="80" w:line="300"/>
        <w:jc w:val="left"/>
      </w:pPr>
      <w:r>
        <w:rPr>
          <w:rFonts w:ascii="Malgun Gothic" w:eastAsia="맑은 고딕" w:hAnsi="Malgun Gothic"/>
        </w:rPr>
        <w:t xml:space="preserve">(5) 수량의 단위는 SI 단위를 사용하는 것을 원칙으로 하고, 다른 단어가 필요한 경우는 ( )안에 구체적으로 표시하여 설명해야 한다.</w:t>
      </w:r>
    </w:p>
    <w:p>
      <w:pPr>
        <w:spacing w:after="80" w:line="300"/>
        <w:jc w:val="left"/>
      </w:pPr>
      <w:r>
        <w:rPr>
          <w:rFonts w:ascii="Malgun Gothic" w:eastAsia="맑은 고딕" w:hAnsi="Malgun Gothic"/>
        </w:rPr>
        <w:t xml:space="preserve">(6) 모든 표와 그림의 설명에는 영어를 사용하며 표의 설명은 표의 상단에, 그림의 설명은 그림 목차에 표기한다. Table 제목의 각 단어 첫 자는 대문자로 쓰고, Figure의 제목은 첫 단어의 첫 자만 대문자로 표기한다. 모든 표는 아라비아 숫자로 일련번호를 부여한다. 그림은 선명하여야 하며 그림의 선 굵기와 그림에 삽입된 글자 크기는 약 1/2로 축소된 후에도 명료하게 읽을 수 있도록 작성한다. 사진의 경우는 사진원본을 제출한다. 모든 그림에도 아라비아 숫자로 일련번호를 부여한다.</w:t>
      </w:r>
    </w:p>
    <w:p>
      <w:pPr>
        <w:spacing w:after="80" w:line="300"/>
        <w:jc w:val="left"/>
      </w:pPr>
      <w:r>
        <w:rPr>
          <w:rFonts w:ascii="Malgun Gothic" w:eastAsia="맑은 고딕" w:hAnsi="Malgun Gothic"/>
        </w:rPr>
        <w:t xml:space="preserve">예:Table 1. Properties of Recycled Polyurethane</w:t>
      </w:r>
    </w:p>
    <w:p>
      <w:pPr>
        <w:spacing w:after="80" w:line="300"/>
        <w:jc w:val="left"/>
      </w:pPr>
      <w:r>
        <w:rPr>
          <w:rFonts w:ascii="Malgun Gothic" w:eastAsia="맑은 고딕" w:hAnsi="Malgun Gothic"/>
        </w:rPr>
        <w:t xml:space="preserve">Fig. 1. Micrographs of materials used in this study.</w:t>
      </w:r>
    </w:p>
    <w:p>
      <w:pPr>
        <w:spacing w:after="80" w:line="300"/>
        <w:jc w:val="left"/>
      </w:pPr>
      <w:r>
        <w:rPr>
          <w:rFonts w:ascii="Malgun Gothic" w:eastAsia="맑은 고딕" w:hAnsi="Malgun Gothic"/>
        </w:rPr>
        <w:t xml:space="preserve">(7) 인용된 참고문헌들은 인용된 순서에 따라 해당 문구 뒤 어깨 위에 아라비아 숫자로 일련 번호를 부여한다</w:t>
      </w:r>
    </w:p>
    <w:p>
      <w:pPr>
        <w:spacing w:after="80" w:line="300"/>
        <w:jc w:val="left"/>
      </w:pPr>
      <w:r>
        <w:rPr>
          <w:rFonts w:ascii="Malgun Gothic" w:eastAsia="맑은 고딕" w:hAnsi="Malgun Gothic"/>
        </w:rPr>
        <w:t xml:space="preserve">(8) 인용문헌이 학술잡지인 경우에는 저자명, “논문명”, 잡지명, 권수, 쪽수(출판년도) 순으로 작성하고, 단행본이나 편집서인 경우는 저자명, “책명”, 편집자, 권수, 쪽수, 출판사명, 출판사 소재지, 출판년도의 순으로 작성한다. 잡지명의 약기 방식은 Chemical Abstracts의 표기방식을 따르되 잡지명은 이탤릭체로, 권을 표시하는 숫자는 진한 글씨체를 사용한다. 그 예는 다음과 같다.</w:t>
      </w:r>
    </w:p>
    <w:p>
      <w:pPr>
        <w:spacing w:after="80" w:line="300"/>
        <w:jc w:val="left"/>
      </w:pPr>
      <w:r>
        <w:rPr>
          <w:rFonts w:ascii="Malgun Gothic" w:eastAsia="맑은 고딕" w:hAnsi="Malgun Gothic"/>
        </w:rPr>
        <w:t xml:space="preserve">1. C.W. Nah, H.J. Kim, and S.Y. Kang, “A Study of the Effect of Degree of Cure on the Physical Properties of Rubber Compounds”, Elastomer, 33, 281 (1998).</w:t>
      </w:r>
    </w:p>
    <w:p>
      <w:pPr>
        <w:spacing w:after="80" w:line="300"/>
        <w:jc w:val="left"/>
      </w:pPr>
      <w:r>
        <w:rPr>
          <w:rFonts w:ascii="Malgun Gothic" w:eastAsia="맑은 고딕" w:hAnsi="Malgun Gothic"/>
        </w:rPr>
        <w:t xml:space="preserve">2. J.E. Mark, “Science and Technology of Rubber”, ed. by J.E. Mark, 2nd ed., p. 100, Academic Press, New York, 1994.</w:t>
      </w:r>
    </w:p>
    <w:p>
      <w:pPr>
        <w:spacing w:after="80" w:line="300"/>
        <w:jc w:val="left"/>
      </w:pPr>
      <w:r>
        <w:rPr>
          <w:rFonts w:ascii="Malgun Gothic" w:eastAsia="맑은 고딕" w:hAnsi="Malgun Gothic"/>
        </w:rPr>
        <w:t xml:space="preserve">3. E.P. Fivel, U.S. Patent 3141868 (1964)</w:t>
      </w:r>
    </w:p>
    <w:p>
      <w:pPr>
        <w:spacing w:after="80" w:line="300"/>
        <w:jc w:val="left"/>
      </w:pPr>
      <w:r>
        <w:rPr>
          <w:rFonts w:ascii="Malgun Gothic" w:eastAsia="맑은 고딕" w:hAnsi="Malgun Gothic"/>
        </w:rPr>
        <w:t xml:space="preserve">13. 투고규정에 명시되어 있지 않은 사항</w:t>
      </w:r>
    </w:p>
    <w:p>
      <w:pPr>
        <w:spacing w:after="80" w:line="300"/>
        <w:jc w:val="left"/>
      </w:pPr>
      <w:r>
        <w:rPr>
          <w:rFonts w:ascii="Malgun Gothic" w:eastAsia="맑은 고딕" w:hAnsi="Malgun Gothic"/>
        </w:rPr>
        <w:t xml:space="preserve">본 규정에 명시되어 있지 않은 사항들은 삼육대학교 논문집 편집위원회가 정하는 바를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투고지침은 2003년 4월 1일부터 시행한다.</w:t>
      </w:r>
    </w:p>
    <w:p>
      <w:pPr>
        <w:spacing w:after="20" w:line="300"/>
        <w:jc w:val="left"/>
      </w:pPr>
      <w:r>
        <w:rPr>
          <w:rFonts w:ascii="Malgun Gothic" w:eastAsia="맑은 고딕" w:hAnsi="Malgun Gothic"/>
        </w:rPr>
        <w:t xml:space="preserve">2. 본 투고지침은 편집위원회에서 개정할 수 있다.</w:t>
      </w:r>
    </w:p>
    <w:p>
      <w:pPr>
        <w:spacing w:after="80" w:line="300"/>
        <w:jc w:val="left"/>
      </w:pPr>
      <w:r>
        <w:rPr>
          <w:rFonts w:ascii="Malgun Gothic" w:eastAsia="맑은 고딕" w:hAnsi="Malgun Gothic"/>
        </w:rPr>
        <w:t xml:space="preserve">3. 본 지침개정은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「논문집투고 및 운영지침」 시행 2006. 3.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논문집투고 및 운영지침</dc:title>
  <dc:creator>삼육대학교 규정시스템</dc:creator>
  <cp:lastModifiedBy>Un-named</cp:lastModifiedBy>
  <cp:revision>1</cp:revision>
  <dcterms:created xsi:type="dcterms:W3CDTF">2026-10-22T03:14:38.712Z</dcterms:created>
  <dcterms:modified xsi:type="dcterms:W3CDTF">2026-10-22T03:14:38.713Z</dcterms:modified>
</cp:coreProperties>
</file>

<file path=docProps/custom.xml><?xml version="1.0" encoding="utf-8"?>
<Properties xmlns="http://schemas.openxmlformats.org/officeDocument/2006/custom-properties" xmlns:vt="http://schemas.openxmlformats.org/officeDocument/2006/docPropsVTypes"/>
</file>