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「연구윤리 운영지침」 신구조문대비표</w:t>
      </w:r>
    </w:p>
    <w:p>
      <w:pPr>
        <w:spacing w:after="20" w:line="300"/>
        <w:jc w:val="left"/>
      </w:pPr>
      <w:r>
        <w:rPr>
          <w:rFonts w:ascii="Malgun Gothic" w:eastAsia="맑은 고딕" w:hAnsi="Malgun Gothic"/>
          <w:color w:val="5B6470"/>
          <w:sz w:val="18"/>
          <w:szCs w:val="18"/>
        </w:rPr>
        <w:t xml:space="preserve">2021. 4. 19. 개정 판 (시행 2021. 3. 1.) → 2020. 6. 8. 개정 판 (시행 2020. 1. 1.)</w:t>
      </w:r>
    </w:p>
    <w:p>
      <w:pPr>
        <w:spacing w:after="20" w:line="300"/>
        <w:jc w:val="left"/>
      </w:pPr>
      <w:r>
        <w:rPr>
          <w:rFonts w:ascii="Malgun Gothic" w:eastAsia="맑은 고딕" w:hAnsi="Malgun Gothic"/>
          <w:color w:val="5B6470"/>
          <w:sz w:val="18"/>
          <w:szCs w:val="18"/>
        </w:rPr>
        <w:t xml:space="preserve">바뀜 2 · 신설 0 · 삭제 3 · 번호 변경 0</w:t>
      </w:r>
    </w:p>
    <w:p>
      <w:pPr>
        <w:spacing w:after="200" w:line="300"/>
        <w:jc w:val="left"/>
      </w:pPr>
      <w:r>
        <w:rPr>
          <w:rFonts w:ascii="Malgun Gothic" w:eastAsia="맑은 고딕" w:hAnsi="Malgun Gothic"/>
          <w:color w:val="5B6470"/>
          <w:sz w:val="16"/>
          <w:szCs w:val="16"/>
        </w:rPr>
        <w:t xml:space="preserve">공식 원본 law.syu.ac.kr · https://suleap.syu.my/r/196/compare?from=1166&amp;to=1009 · 내려받은 때 2026. 10. 22. 오후 6:16:40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삼육대학교(이하 “본 대학”이라 한다)의 연구윤리를 확립하고 연구 부정행위를 사전에 예방하며, 연구 부정행위 발생 시 공정하고 체계적인 진실성 검증을 위한 사항을 규정함을 목적으로 </w:t>
            </w:r>
            <w:r>
              <w:rPr>
                <w:rFonts w:ascii="Malgun Gothic" w:eastAsia="맑은 고딕" w:hAnsi="Malgun Gothic"/>
                <w:b w:val="false"/>
                <w:bCs w:val="false"/>
                <w:sz w:val="19"/>
                <w:szCs w:val="19"/>
              </w:rPr>
              <w:t xml:space="preserve">한다. 〈개정 2015-02-16〉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삼육대학교(이하 “본 대학”이라 한다)의 연구윤리를 확립하고 연구 부정행위를 사전에 예방하며, 연구 부정행위 발생 시 공정하고 체계적인 진실성 검증을 위한 사항을 규정함을 목적으로 </w:t>
            </w:r>
            <w:r>
              <w:rPr>
                <w:rFonts w:ascii="Malgun Gothic" w:eastAsia="맑은 고딕" w:hAnsi="Malgun Gothic"/>
                <w:b w:val="false"/>
                <w:bCs w:val="false"/>
                <w:sz w:val="19"/>
                <w:szCs w:val="19"/>
                <w:u w:val="single"/>
              </w:rPr>
              <w:t xml:space="preserve">하며, 삼육대학교 연구윤리심의위원회 및 생명윤리심의위원회 규정 제10조에 의거</w:t>
            </w:r>
            <w:r>
              <w:rPr>
                <w:rFonts w:ascii="Malgun Gothic" w:eastAsia="맑은 고딕" w:hAnsi="Malgun Gothic"/>
                <w:b w:val="false"/>
                <w:bCs w:val="false"/>
                <w:sz w:val="19"/>
                <w:szCs w:val="19"/>
              </w:rPr>
              <w:t xml:space="preserve">한다. 〈개정 2015-02-16〉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예비조사의 기간 및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예비조사는 신고접수일로부터 15일 이내에 착수하고, 조사시작일로부터 30일 이내에 완료하여 연구윤리심의위원회 승인을 받도록 한다.</w:t>
            </w:r>
          </w:p>
          <w:p>
            <w:pPr>
              <w:spacing w:after="20" w:line="280"/>
            </w:pPr>
            <w:r>
              <w:rPr>
                <w:rFonts w:ascii="Malgun Gothic" w:eastAsia="맑은 고딕" w:hAnsi="Malgun Gothic"/>
                <w:b w:val="false"/>
                <w:bCs w:val="false"/>
                <w:sz w:val="19"/>
                <w:szCs w:val="19"/>
              </w:rPr>
              <w:t xml:space="preserve">(2)예비조사에서는 다음 각 호의 사항에 대한 검토를 실시한다.</w:t>
            </w:r>
          </w:p>
          <w:p>
            <w:pPr>
              <w:spacing w:after="20" w:line="280"/>
            </w:pPr>
            <w:r>
              <w:rPr>
                <w:rFonts w:ascii="Malgun Gothic" w:eastAsia="맑은 고딕" w:hAnsi="Malgun Gothic"/>
                <w:b w:val="false"/>
                <w:bCs w:val="false"/>
                <w:sz w:val="19"/>
                <w:szCs w:val="19"/>
              </w:rPr>
              <w:t xml:space="preserve">1. 제보내용이 제4조제1항의 부정행위에 해당하는지 여부</w:t>
            </w:r>
          </w:p>
          <w:p>
            <w:pPr>
              <w:spacing w:after="20" w:line="280"/>
            </w:pPr>
            <w:r>
              <w:rPr>
                <w:rFonts w:ascii="Malgun Gothic" w:eastAsia="맑은 고딕" w:hAnsi="Malgun Gothic"/>
                <w:b w:val="false"/>
                <w:bCs w:val="false"/>
                <w:sz w:val="19"/>
                <w:szCs w:val="19"/>
              </w:rPr>
              <w:t xml:space="preserve">2. 제보내용이 구체성과 명확성을 갖추어 본 조사를 실시할 필요성과 실익이 있 는지 여부</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〈삭</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2021-04-19〉</w:t>
            </w:r>
          </w:p>
          <w:p>
            <w:pPr>
              <w:spacing w:after="20" w:line="280"/>
            </w:pPr>
            <w:r>
              <w:rPr>
                <w:rFonts w:ascii="Malgun Gothic" w:eastAsia="맑은 고딕" w:hAnsi="Malgun Gothic"/>
                <w:b w:val="false"/>
                <w:bCs w:val="false"/>
                <w:sz w:val="19"/>
                <w:szCs w:val="19"/>
              </w:rPr>
              <w:t xml:space="preserve">(3)예비조사는 예비조사위원회에서 담당하되, 필요한 경우 관련 전문가 또는 별도의 소위원회를 구성하여 조사를 의뢰할 수 있다.</w:t>
            </w:r>
          </w:p>
          <w:p>
            <w:pPr>
              <w:spacing w:after="40" w:line="280"/>
            </w:pPr>
            <w:r>
              <w:rPr>
                <w:rFonts w:ascii="Malgun Gothic" w:eastAsia="맑은 고딕" w:hAnsi="Malgun Gothic"/>
                <w:b w:val="false"/>
                <w:bCs w:val="false"/>
                <w:sz w:val="19"/>
                <w:szCs w:val="19"/>
              </w:rPr>
              <w:t xml:space="preserve">④ 예비조사위원회는 필요한 경우 제보자, 피조사자 또는 관계인에 대하여 출석조사를 하거나 그 밖의 증거조사를 할 수 있다. 〈신설 2020-06-08〉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예비조사의 기간 및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예비조사는 신고접수일로부터 15일 이내에 착수하고, 조사시작일로부터 30일 이내에 완료하여 연구윤리심의위원회 승인을 받도록 한다.</w:t>
            </w:r>
          </w:p>
          <w:p>
            <w:pPr>
              <w:spacing w:after="20" w:line="280"/>
            </w:pPr>
            <w:r>
              <w:rPr>
                <w:rFonts w:ascii="Malgun Gothic" w:eastAsia="맑은 고딕" w:hAnsi="Malgun Gothic"/>
                <w:b w:val="false"/>
                <w:bCs w:val="false"/>
                <w:sz w:val="19"/>
                <w:szCs w:val="19"/>
              </w:rPr>
              <w:t xml:space="preserve">(2)예비조사에서는 다음 각 호의 사항에 대한 검토를 실시한다.</w:t>
            </w:r>
          </w:p>
          <w:p>
            <w:pPr>
              <w:spacing w:after="20" w:line="280"/>
            </w:pPr>
            <w:r>
              <w:rPr>
                <w:rFonts w:ascii="Malgun Gothic" w:eastAsia="맑은 고딕" w:hAnsi="Malgun Gothic"/>
                <w:b w:val="false"/>
                <w:bCs w:val="false"/>
                <w:sz w:val="19"/>
                <w:szCs w:val="19"/>
              </w:rPr>
              <w:t xml:space="preserve">1. 제보내용이 제4조제1항의 부정행위에 해당하는지 여부</w:t>
            </w:r>
          </w:p>
          <w:p>
            <w:pPr>
              <w:spacing w:after="20" w:line="280"/>
            </w:pPr>
            <w:r>
              <w:rPr>
                <w:rFonts w:ascii="Malgun Gothic" w:eastAsia="맑은 고딕" w:hAnsi="Malgun Gothic"/>
                <w:b w:val="false"/>
                <w:bCs w:val="false"/>
                <w:sz w:val="19"/>
                <w:szCs w:val="19"/>
              </w:rPr>
              <w:t xml:space="preserve">2. 제보내용이 구체성과 명확성을 갖추어 본 조사를 실시할 필요성과 실익이 있 는지 여부</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보일이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시효기산일로부터 5년을 경과하였는지 여부</w:t>
            </w:r>
          </w:p>
          <w:p>
            <w:pPr>
              <w:spacing w:after="20" w:line="280"/>
            </w:pPr>
            <w:r>
              <w:rPr>
                <w:rFonts w:ascii="Malgun Gothic" w:eastAsia="맑은 고딕" w:hAnsi="Malgun Gothic"/>
                <w:b w:val="false"/>
                <w:bCs w:val="false"/>
                <w:sz w:val="19"/>
                <w:szCs w:val="19"/>
              </w:rPr>
              <w:t xml:space="preserve">(3)예비조사는 예비조사위원회에서 담당하되, 필요한 경우 관련 전문가 또는 별도의 소위원회를 구성하여 조사를 의뢰할 수 있다.</w:t>
            </w:r>
          </w:p>
          <w:p>
            <w:pPr>
              <w:spacing w:after="40" w:line="280"/>
            </w:pPr>
            <w:r>
              <w:rPr>
                <w:rFonts w:ascii="Malgun Gothic" w:eastAsia="맑은 고딕" w:hAnsi="Malgun Gothic"/>
                <w:b w:val="false"/>
                <w:bCs w:val="false"/>
                <w:sz w:val="19"/>
                <w:szCs w:val="19"/>
              </w:rPr>
              <w:t xml:space="preserve">④ 예비조사위원회는 필요한 경우 제보자, 피조사자 또는 관계인에 대하여 출석조사를 하거나 그 밖의 증거조사를 할 수 있다. 〈신설 2020-06-08〉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연구의 계획, 자료수집, 분석, 해석, 출판, 결과이용 등과 관련하여 연구자에게 제25조에 규정된 이해상충이 발생하거나 발생할 가능성이 있는 경우에는 연구의 공정성과 연구대상자의 안전 및 학문연구에 대한 사회적 신뢰가 손상될 수 있으므로, 연구자는 제26조에 규정하는 바에 따라 이해상충을 관리하여야 한다.</w:t>
            </w:r>
          </w:p>
          <w:p>
            <w:pPr>
              <w:spacing w:after="40" w:line="280"/>
            </w:pPr>
            <w:r>
              <w:rPr>
                <w:rFonts w:ascii="Malgun Gothic" w:eastAsia="맑은 고딕" w:hAnsi="Malgun Gothic"/>
                <w:b w:val="false"/>
                <w:bCs w:val="false"/>
                <w:sz w:val="19"/>
                <w:szCs w:val="19"/>
                <w:u w:val="single"/>
              </w:rPr>
              <w:t xml:space="preserve">[본조신설: 2021.04.19.]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내용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이해상충은 다음 각 호의 어느 하나의 사유로 인하여 공정한 전문가적 판단 또는 연구 수행에 부정적인 영향을 미칠 수 있는 경우를 의미한다.</w:t>
            </w:r>
          </w:p>
          <w:p>
            <w:pPr>
              <w:spacing w:after="20" w:line="280"/>
            </w:pPr>
            <w:r>
              <w:rPr>
                <w:rFonts w:ascii="Malgun Gothic" w:eastAsia="맑은 고딕" w:hAnsi="Malgun Gothic"/>
                <w:b w:val="false"/>
                <w:bCs w:val="false"/>
                <w:sz w:val="19"/>
                <w:szCs w:val="19"/>
                <w:u w:val="single"/>
              </w:rPr>
              <w:t xml:space="preserve">1. 금전적 이해상충 : 연구와 관련된 연구자의 금전적 이익으로 인하여 유발되는 경우</w:t>
            </w:r>
          </w:p>
          <w:p>
            <w:pPr>
              <w:spacing w:after="20" w:line="280"/>
            </w:pPr>
            <w:r>
              <w:rPr>
                <w:rFonts w:ascii="Malgun Gothic" w:eastAsia="맑은 고딕" w:hAnsi="Malgun Gothic"/>
                <w:b w:val="false"/>
                <w:bCs w:val="false"/>
                <w:sz w:val="19"/>
                <w:szCs w:val="19"/>
                <w:u w:val="single"/>
              </w:rPr>
              <w:t xml:space="preserve">2. 인간관계적 이해상충 : 개인적인 친분이나 소속 기관의 영향, 또는 개인적인 갈등이나 연구 경쟁 등 사적인 인간관계로 인하여 유발 되는 경우</w:t>
            </w:r>
          </w:p>
          <w:p>
            <w:pPr>
              <w:spacing w:after="20" w:line="280"/>
            </w:pPr>
            <w:r>
              <w:rPr>
                <w:rFonts w:ascii="Malgun Gothic" w:eastAsia="맑은 고딕" w:hAnsi="Malgun Gothic"/>
                <w:b w:val="false"/>
                <w:bCs w:val="false"/>
                <w:sz w:val="19"/>
                <w:szCs w:val="19"/>
                <w:u w:val="single"/>
              </w:rPr>
              <w:t xml:space="preserve">3. 지적인 이해상충 : 특정한 연구 종류나 분야에 관한 종교적 신념이나 세계관적 내지 도덕적 소신 또는 이론적 확신으로 인하여 유발되는 경우</w:t>
            </w:r>
          </w:p>
          <w:p>
            <w:pPr>
              <w:spacing w:after="20" w:line="280"/>
            </w:pPr>
            <w:r>
              <w:rPr>
                <w:rFonts w:ascii="Malgun Gothic" w:eastAsia="맑은 고딕" w:hAnsi="Malgun Gothic"/>
                <w:b w:val="false"/>
                <w:bCs w:val="false"/>
                <w:sz w:val="19"/>
                <w:szCs w:val="19"/>
                <w:u w:val="single"/>
              </w:rPr>
              <w:t xml:space="preserve">4. 역할충돌에 의한 이해상충 : 교육, 봉사, 외부활동 등 소속 기관의 구성원으로서의 역할이 연구 활동과 충돌함으로써 유발되는 경우</w:t>
            </w:r>
          </w:p>
          <w:p>
            <w:pPr>
              <w:spacing w:after="20" w:line="280"/>
            </w:pPr>
            <w:r>
              <w:rPr>
                <w:rFonts w:ascii="Malgun Gothic" w:eastAsia="맑은 고딕" w:hAnsi="Malgun Gothic"/>
                <w:b w:val="false"/>
                <w:bCs w:val="false"/>
                <w:sz w:val="19"/>
                <w:szCs w:val="19"/>
                <w:u w:val="single"/>
              </w:rPr>
              <w:t xml:space="preserve">5. 기타의 이해상충 : 그밖에 제1호에서 제4호까지에 준하는 사유로 인하여 유발되는 경우</w:t>
            </w:r>
          </w:p>
          <w:p>
            <w:pPr>
              <w:spacing w:after="40" w:line="280"/>
            </w:pPr>
            <w:r>
              <w:rPr>
                <w:rFonts w:ascii="Malgun Gothic" w:eastAsia="맑은 고딕" w:hAnsi="Malgun Gothic"/>
                <w:b w:val="false"/>
                <w:bCs w:val="false"/>
                <w:sz w:val="19"/>
                <w:szCs w:val="19"/>
                <w:u w:val="single"/>
              </w:rPr>
              <w:t xml:space="preserve">[본조신설: 2021.04.19.]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280"/>
            </w:pPr>
            <w:r>
              <w:rPr>
                <w:rFonts w:ascii="Malgun Gothic" w:eastAsia="맑은 고딕" w:hAnsi="Malgun Gothic"/>
                <w:b w:val="false"/>
                <w:bCs w:val="false"/>
                <w:sz w:val="19"/>
                <w:szCs w:val="19"/>
                <w:u w:val="single"/>
              </w:rPr>
              <w:t xml:space="preserve">② 연구자는 연구계획서에 연구비 지원내역, 후원자, 소속 기관, 그밖에 제25조에 규정된 이해상충의 가능성이 있는 사유들을 명시하여야하고 , 연구결과를 발표할 때에도 학술지에 이를 밝혀야 한다. 필요한 경우에는 연구대상자들에게도 이를 알려야 한다.</w:t>
            </w:r>
          </w:p>
          <w:p>
            <w:pPr>
              <w:spacing w:after="20" w:line="280"/>
            </w:pPr>
            <w:r>
              <w:rPr>
                <w:rFonts w:ascii="Malgun Gothic" w:eastAsia="맑은 고딕" w:hAnsi="Malgun Gothic"/>
                <w:b w:val="false"/>
                <w:bCs w:val="false"/>
                <w:sz w:val="19"/>
                <w:szCs w:val="19"/>
                <w:u w:val="single"/>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40" w:line="280"/>
            </w:pPr>
            <w:r>
              <w:rPr>
                <w:rFonts w:ascii="Malgun Gothic" w:eastAsia="맑은 고딕" w:hAnsi="Malgun Gothic"/>
                <w:b w:val="false"/>
                <w:bCs w:val="false"/>
                <w:sz w:val="19"/>
                <w:szCs w:val="19"/>
                <w:u w:val="single"/>
              </w:rPr>
              <w:t xml:space="preserve">[본조신설: 2021.04.19.]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「연구윤리 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「연구윤리 운영지침」 신구조문대비표</dc:title>
  <dc:creator>삼육대학교 규정시스템</dc:creator>
  <cp:lastModifiedBy>Un-named</cp:lastModifiedBy>
  <cp:revision>1</cp:revision>
  <dcterms:created xsi:type="dcterms:W3CDTF">2026-10-22T09:16:40.990Z</dcterms:created>
  <dcterms:modified xsi:type="dcterms:W3CDTF">2026-10-22T09:16:40.990Z</dcterms:modified>
</cp:coreProperties>
</file>

<file path=docProps/custom.xml><?xml version="1.0" encoding="utf-8"?>
<Properties xmlns="http://schemas.openxmlformats.org/officeDocument/2006/custom-properties" xmlns:vt="http://schemas.openxmlformats.org/officeDocument/2006/docPropsVTypes"/>
</file>